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6312A8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4325F8" w:rsidRDefault="004325F8" w:rsidP="004325F8">
      <w:pPr>
        <w:pStyle w:val="Ttulo1"/>
        <w:jc w:val="both"/>
        <w:rPr>
          <w:rFonts w:ascii="AvantGarde Bk BT" w:hAnsi="AvantGarde Bk BT" w:cs="Arial"/>
          <w:b w:val="0"/>
          <w:sz w:val="22"/>
          <w:szCs w:val="22"/>
        </w:rPr>
      </w:pPr>
      <w:r w:rsidRPr="00F31151">
        <w:rPr>
          <w:rFonts w:ascii="AvantGarde Bk BT" w:hAnsi="AvantGarde Bk BT" w:cs="Arial"/>
          <w:b w:val="0"/>
          <w:sz w:val="22"/>
          <w:szCs w:val="22"/>
        </w:rPr>
        <w:t>A estas Comisiones Permanentes Conjuntas de Educación y de Hacienda ha sido turnado</w:t>
      </w:r>
      <w:r w:rsidR="00F15BB5">
        <w:rPr>
          <w:rFonts w:ascii="AvantGarde Bk BT" w:hAnsi="AvantGarde Bk BT" w:cs="Arial"/>
          <w:b w:val="0"/>
          <w:sz w:val="22"/>
          <w:szCs w:val="22"/>
        </w:rPr>
        <w:t xml:space="preserve"> </w:t>
      </w:r>
      <w:r w:rsidR="006E5676">
        <w:rPr>
          <w:rFonts w:ascii="AvantGarde Bk BT" w:hAnsi="AvantGarde Bk BT" w:cs="Arial"/>
          <w:b w:val="0"/>
          <w:sz w:val="22"/>
          <w:szCs w:val="22"/>
        </w:rPr>
        <w:t>e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l </w:t>
      </w:r>
      <w:r w:rsidR="00F15BB5" w:rsidRPr="00F31151">
        <w:rPr>
          <w:rFonts w:ascii="AvantGarde Bk BT" w:hAnsi="AvantGarde Bk BT" w:cs="Arial"/>
          <w:b w:val="0"/>
          <w:sz w:val="22"/>
          <w:szCs w:val="22"/>
        </w:rPr>
        <w:t>dict</w:t>
      </w:r>
      <w:r w:rsidR="006E5676">
        <w:rPr>
          <w:rFonts w:ascii="AvantGarde Bk BT" w:hAnsi="AvantGarde Bk BT" w:cs="Arial"/>
          <w:b w:val="0"/>
          <w:sz w:val="22"/>
          <w:szCs w:val="22"/>
        </w:rPr>
        <w:t>a</w:t>
      </w:r>
      <w:r w:rsidR="00F15BB5" w:rsidRPr="00F31151">
        <w:rPr>
          <w:rFonts w:ascii="AvantGarde Bk BT" w:hAnsi="AvantGarde Bk BT" w:cs="Arial"/>
          <w:b w:val="0"/>
          <w:sz w:val="22"/>
          <w:szCs w:val="22"/>
        </w:rPr>
        <w:t>men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 </w:t>
      </w:r>
      <w:r>
        <w:rPr>
          <w:rFonts w:ascii="AvantGarde Bk BT" w:hAnsi="AvantGarde Bk BT" w:cs="Arial"/>
          <w:b w:val="0"/>
          <w:sz w:val="22"/>
          <w:szCs w:val="22"/>
        </w:rPr>
        <w:t>0</w:t>
      </w:r>
      <w:r w:rsidR="006E5676">
        <w:rPr>
          <w:rFonts w:ascii="AvantGarde Bk BT" w:hAnsi="AvantGarde Bk BT" w:cs="Arial"/>
          <w:b w:val="0"/>
          <w:sz w:val="22"/>
          <w:szCs w:val="22"/>
        </w:rPr>
        <w:t>20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, de fecha </w:t>
      </w:r>
      <w:r w:rsidR="006E5676">
        <w:rPr>
          <w:rFonts w:ascii="AvantGarde Bk BT" w:hAnsi="AvantGarde Bk BT" w:cs="Arial"/>
          <w:b w:val="0"/>
          <w:sz w:val="22"/>
          <w:szCs w:val="22"/>
        </w:rPr>
        <w:t>9 de diciembre de 2013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, en el que el Consejo del Centro Universitario de </w:t>
      </w:r>
      <w:r>
        <w:rPr>
          <w:rFonts w:ascii="AvantGarde Bk BT" w:hAnsi="AvantGarde Bk BT" w:cs="Arial"/>
          <w:b w:val="0"/>
          <w:sz w:val="22"/>
          <w:szCs w:val="22"/>
        </w:rPr>
        <w:t>Arte, Arquitectura y Diseño</w:t>
      </w:r>
      <w:r w:rsidRPr="00F31151">
        <w:rPr>
          <w:rFonts w:ascii="AvantGarde Bk BT" w:hAnsi="AvantGarde Bk BT" w:cs="Arial"/>
          <w:b w:val="0"/>
          <w:sz w:val="22"/>
          <w:szCs w:val="22"/>
        </w:rPr>
        <w:t xml:space="preserve"> propone la modificación del </w:t>
      </w:r>
      <w:r w:rsidR="00AB2EE4">
        <w:rPr>
          <w:rFonts w:ascii="AvantGarde Bk BT" w:hAnsi="AvantGarde Bk BT"/>
          <w:b w:val="0"/>
          <w:color w:val="000000"/>
          <w:sz w:val="22"/>
          <w:szCs w:val="22"/>
        </w:rPr>
        <w:t xml:space="preserve">nombre de la unidad de </w:t>
      </w:r>
      <w:r w:rsidR="00AB2EE4" w:rsidRPr="00AB2EE4">
        <w:rPr>
          <w:rFonts w:ascii="AvantGarde Bk BT" w:hAnsi="AvantGarde Bk BT"/>
          <w:b w:val="0"/>
          <w:color w:val="000000"/>
          <w:sz w:val="22"/>
          <w:szCs w:val="22"/>
        </w:rPr>
        <w:t xml:space="preserve">aprendizaje </w:t>
      </w:r>
      <w:r w:rsidR="00AB2EE4">
        <w:rPr>
          <w:rFonts w:ascii="AvantGarde Bk BT" w:hAnsi="AvantGarde Bk BT"/>
          <w:b w:val="0"/>
          <w:color w:val="000000"/>
          <w:sz w:val="22"/>
          <w:szCs w:val="22"/>
        </w:rPr>
        <w:t xml:space="preserve">“Teoría y Técnicas de Promoción Cultural” al de “Sostenibilidad y Desarrollo Cultural”, </w:t>
      </w:r>
      <w:r w:rsidR="00AB2EE4" w:rsidRPr="00AB2EE4">
        <w:rPr>
          <w:rFonts w:ascii="AvantGarde Bk BT" w:hAnsi="AvantGarde Bk BT"/>
          <w:b w:val="0"/>
          <w:color w:val="000000"/>
          <w:sz w:val="22"/>
          <w:szCs w:val="22"/>
        </w:rPr>
        <w:t>de la orientación “Políticas Públicas en el Campo de la Cultura”</w:t>
      </w:r>
      <w:r w:rsidR="00AB2EE4">
        <w:rPr>
          <w:rFonts w:ascii="AvantGarde Bk BT" w:hAnsi="AvantGarde Bk BT"/>
          <w:b w:val="0"/>
          <w:color w:val="000000"/>
          <w:sz w:val="22"/>
          <w:szCs w:val="22"/>
        </w:rPr>
        <w:t xml:space="preserve"> del </w:t>
      </w:r>
      <w:r w:rsidRPr="00F31151">
        <w:rPr>
          <w:rFonts w:ascii="AvantGarde Bk BT" w:hAnsi="AvantGarde Bk BT" w:cs="Arial"/>
          <w:b w:val="0"/>
          <w:sz w:val="22"/>
          <w:szCs w:val="22"/>
        </w:rPr>
        <w:t>programa académico de la</w:t>
      </w:r>
      <w:r w:rsidRPr="003122B7">
        <w:rPr>
          <w:rFonts w:ascii="AvantGarde Bk BT" w:hAnsi="AvantGarde Bk BT" w:cs="Arial"/>
          <w:bCs/>
          <w:sz w:val="22"/>
          <w:szCs w:val="22"/>
        </w:rPr>
        <w:t xml:space="preserve"> </w:t>
      </w:r>
      <w:r w:rsidRPr="003122B7">
        <w:rPr>
          <w:rFonts w:ascii="AvantGarde Bk BT" w:hAnsi="AvantGarde Bk BT"/>
          <w:bCs/>
          <w:sz w:val="22"/>
          <w:szCs w:val="22"/>
        </w:rPr>
        <w:t xml:space="preserve">Maestría en </w:t>
      </w:r>
      <w:r w:rsidR="006E5676">
        <w:rPr>
          <w:rFonts w:ascii="AvantGarde Bk BT" w:hAnsi="AvantGarde Bk BT"/>
          <w:bCs/>
          <w:sz w:val="22"/>
          <w:szCs w:val="22"/>
        </w:rPr>
        <w:t xml:space="preserve">Gestión </w:t>
      </w:r>
      <w:r w:rsidR="005B4581">
        <w:rPr>
          <w:rFonts w:ascii="AvantGarde Bk BT" w:hAnsi="AvantGarde Bk BT"/>
          <w:bCs/>
          <w:sz w:val="22"/>
          <w:szCs w:val="22"/>
        </w:rPr>
        <w:t>y Desarrollo Cultural</w:t>
      </w:r>
      <w:r w:rsidRPr="003122B7">
        <w:rPr>
          <w:rFonts w:ascii="AvantGarde Bk BT" w:hAnsi="AvantGarde Bk BT"/>
          <w:bCs/>
          <w:sz w:val="22"/>
          <w:szCs w:val="22"/>
        </w:rPr>
        <w:t>,</w:t>
      </w:r>
      <w:r>
        <w:rPr>
          <w:rFonts w:ascii="AvantGarde Bk BT" w:hAnsi="AvantGarde Bk BT" w:cs="Arial"/>
          <w:b w:val="0"/>
          <w:sz w:val="22"/>
          <w:szCs w:val="22"/>
        </w:rPr>
        <w:t xml:space="preserve"> </w:t>
      </w:r>
      <w:r w:rsidRPr="00F31151">
        <w:rPr>
          <w:rFonts w:ascii="AvantGarde Bk BT" w:hAnsi="AvantGarde Bk BT" w:cs="Arial"/>
          <w:b w:val="0"/>
          <w:sz w:val="22"/>
          <w:szCs w:val="22"/>
        </w:rPr>
        <w:t>y</w:t>
      </w:r>
    </w:p>
    <w:p w:rsidR="002355D6" w:rsidRDefault="002355D6" w:rsidP="00E053BB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400C99" w:rsidRDefault="0032460C" w:rsidP="00400C99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400C99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:rsidR="005B4581" w:rsidRPr="005B4581" w:rsidRDefault="005B4581" w:rsidP="005B4581">
      <w:pPr>
        <w:ind w:right="57"/>
        <w:jc w:val="both"/>
        <w:rPr>
          <w:rFonts w:ascii="AvantGarde Bk BT" w:hAnsi="AvantGarde Bk BT"/>
          <w:sz w:val="22"/>
          <w:szCs w:val="22"/>
        </w:rPr>
      </w:pPr>
    </w:p>
    <w:p w:rsidR="005B4581" w:rsidRPr="005B4581" w:rsidRDefault="005B4581" w:rsidP="005B4581">
      <w:pPr>
        <w:numPr>
          <w:ilvl w:val="0"/>
          <w:numId w:val="12"/>
        </w:numPr>
        <w:ind w:left="426" w:right="57"/>
        <w:jc w:val="both"/>
        <w:rPr>
          <w:rFonts w:ascii="AvantGarde Bk BT" w:hAnsi="AvantGarde Bk BT"/>
          <w:sz w:val="22"/>
          <w:szCs w:val="22"/>
        </w:rPr>
      </w:pPr>
      <w:r w:rsidRPr="005B4581">
        <w:rPr>
          <w:rFonts w:ascii="AvantGarde Bk BT" w:hAnsi="AvantGarde Bk BT" w:cs="Arial"/>
          <w:sz w:val="22"/>
          <w:szCs w:val="22"/>
        </w:rPr>
        <w:t xml:space="preserve">Que </w:t>
      </w:r>
      <w:r w:rsidR="00E053BB">
        <w:rPr>
          <w:rFonts w:ascii="AvantGarde Bk BT" w:hAnsi="AvantGarde Bk BT" w:cs="Arial"/>
          <w:sz w:val="22"/>
          <w:szCs w:val="22"/>
        </w:rPr>
        <w:t xml:space="preserve">el </w:t>
      </w:r>
      <w:r w:rsidR="00E053BB" w:rsidRPr="005B4581">
        <w:rPr>
          <w:rFonts w:ascii="AvantGarde Bk BT" w:hAnsi="AvantGarde Bk BT" w:cs="Arial"/>
          <w:sz w:val="22"/>
          <w:szCs w:val="22"/>
        </w:rPr>
        <w:t xml:space="preserve">14 de diciembre de 2004, el H. Consejo General Universitario aprobó </w:t>
      </w:r>
      <w:r w:rsidR="00E053BB">
        <w:rPr>
          <w:rFonts w:ascii="AvantGarde Bk BT" w:hAnsi="AvantGarde Bk BT" w:cs="Arial"/>
          <w:sz w:val="22"/>
          <w:szCs w:val="22"/>
        </w:rPr>
        <w:t>el d</w:t>
      </w:r>
      <w:r w:rsidRPr="005B4581">
        <w:rPr>
          <w:rFonts w:ascii="AvantGarde Bk BT" w:hAnsi="AvantGarde Bk BT" w:cs="Arial"/>
          <w:sz w:val="22"/>
          <w:szCs w:val="22"/>
        </w:rPr>
        <w:t xml:space="preserve">ictamen número I/2004/362, </w:t>
      </w:r>
      <w:r w:rsidR="00E053BB">
        <w:rPr>
          <w:rFonts w:ascii="AvantGarde Bk BT" w:hAnsi="AvantGarde Bk BT" w:cs="Arial"/>
          <w:sz w:val="22"/>
          <w:szCs w:val="22"/>
        </w:rPr>
        <w:t xml:space="preserve">relacionado con </w:t>
      </w:r>
      <w:r w:rsidRPr="005B4581">
        <w:rPr>
          <w:rFonts w:ascii="AvantGarde Bk BT" w:hAnsi="AvantGarde Bk BT" w:cs="Arial"/>
          <w:sz w:val="22"/>
          <w:szCs w:val="22"/>
        </w:rPr>
        <w:t>la creación de la Maestría en Gestión y Desarrollo Cultural</w:t>
      </w:r>
      <w:r w:rsidR="00E053BB">
        <w:rPr>
          <w:rFonts w:ascii="AvantGarde Bk BT" w:hAnsi="AvantGarde Bk BT" w:cs="Arial"/>
          <w:sz w:val="22"/>
          <w:szCs w:val="22"/>
        </w:rPr>
        <w:t>,</w:t>
      </w:r>
      <w:r w:rsidRPr="005B4581">
        <w:rPr>
          <w:rFonts w:ascii="AvantGarde Bk BT" w:hAnsi="AvantGarde Bk BT" w:cs="Arial"/>
          <w:sz w:val="22"/>
          <w:szCs w:val="22"/>
        </w:rPr>
        <w:t xml:space="preserve"> con orientaciones en Investigación y Docencia en el Campo de la Cultura, Gestión y Promoción Cultural, Políticas Públicas en el Campo de la Cultura y Mercadotecnia Cultural, </w:t>
      </w:r>
      <w:r w:rsidR="00E053BB">
        <w:rPr>
          <w:rFonts w:ascii="AvantGarde Bk BT" w:hAnsi="AvantGarde Bk BT" w:cs="Arial"/>
          <w:sz w:val="22"/>
          <w:szCs w:val="22"/>
        </w:rPr>
        <w:t>a partir del ciclo escolar 2005 “</w:t>
      </w:r>
      <w:r w:rsidRPr="005B4581">
        <w:rPr>
          <w:rFonts w:ascii="AvantGarde Bk BT" w:hAnsi="AvantGarde Bk BT" w:cs="Arial"/>
          <w:sz w:val="22"/>
          <w:szCs w:val="22"/>
        </w:rPr>
        <w:t>A</w:t>
      </w:r>
      <w:r w:rsidR="00E053BB">
        <w:rPr>
          <w:rFonts w:ascii="AvantGarde Bk BT" w:hAnsi="AvantGarde Bk BT" w:cs="Arial"/>
          <w:sz w:val="22"/>
          <w:szCs w:val="22"/>
        </w:rPr>
        <w:t>”</w:t>
      </w:r>
      <w:r w:rsidRPr="005B4581">
        <w:rPr>
          <w:rFonts w:ascii="AvantGarde Bk BT" w:hAnsi="AvantGarde Bk BT" w:cs="Arial"/>
          <w:sz w:val="22"/>
          <w:szCs w:val="22"/>
        </w:rPr>
        <w:t>.</w:t>
      </w:r>
    </w:p>
    <w:p w:rsidR="005B4581" w:rsidRDefault="005B4581" w:rsidP="00530499">
      <w:pPr>
        <w:ind w:left="66" w:right="57"/>
        <w:jc w:val="both"/>
        <w:rPr>
          <w:rFonts w:ascii="AvantGarde Bk BT" w:hAnsi="AvantGarde Bk BT"/>
          <w:sz w:val="22"/>
          <w:szCs w:val="22"/>
        </w:rPr>
      </w:pPr>
    </w:p>
    <w:p w:rsidR="00DA2114" w:rsidRDefault="004325F8" w:rsidP="005B4581">
      <w:pPr>
        <w:numPr>
          <w:ilvl w:val="0"/>
          <w:numId w:val="12"/>
        </w:numPr>
        <w:ind w:left="426" w:right="57"/>
        <w:jc w:val="both"/>
        <w:rPr>
          <w:rFonts w:ascii="AvantGarde Bk BT" w:hAnsi="AvantGarde Bk BT"/>
          <w:sz w:val="22"/>
          <w:szCs w:val="22"/>
        </w:rPr>
      </w:pPr>
      <w:r w:rsidRPr="005B4581">
        <w:rPr>
          <w:rFonts w:ascii="AvantGarde Bk BT" w:hAnsi="AvantGarde Bk BT" w:cs="Arial"/>
          <w:sz w:val="22"/>
          <w:szCs w:val="22"/>
        </w:rPr>
        <w:t xml:space="preserve">Que </w:t>
      </w:r>
      <w:r w:rsidR="00530499">
        <w:rPr>
          <w:rFonts w:ascii="AvantGarde Bk BT" w:hAnsi="AvantGarde Bk BT" w:cs="Arial"/>
          <w:sz w:val="22"/>
          <w:szCs w:val="22"/>
        </w:rPr>
        <w:t xml:space="preserve">el </w:t>
      </w:r>
      <w:r w:rsidR="00530499" w:rsidRPr="005B4581">
        <w:rPr>
          <w:rFonts w:ascii="AvantGarde Bk BT" w:hAnsi="AvantGarde Bk BT" w:cs="Arial"/>
          <w:sz w:val="22"/>
          <w:szCs w:val="22"/>
        </w:rPr>
        <w:t xml:space="preserve">8 de julio de 2011, </w:t>
      </w:r>
      <w:r w:rsidR="00530499" w:rsidRPr="005B4581">
        <w:rPr>
          <w:rFonts w:ascii="AvantGarde Bk BT" w:hAnsi="AvantGarde Bk BT"/>
          <w:sz w:val="22"/>
          <w:szCs w:val="22"/>
        </w:rPr>
        <w:t xml:space="preserve">el H. Consejo General Universitario aprobó </w:t>
      </w:r>
      <w:r w:rsidR="00530499">
        <w:rPr>
          <w:rFonts w:ascii="AvantGarde Bk BT" w:hAnsi="AvantGarde Bk BT"/>
          <w:sz w:val="22"/>
          <w:szCs w:val="22"/>
        </w:rPr>
        <w:t xml:space="preserve">el </w:t>
      </w:r>
      <w:r w:rsidRPr="005B4581">
        <w:rPr>
          <w:rFonts w:ascii="AvantGarde Bk BT" w:hAnsi="AvantGarde Bk BT" w:cs="Arial"/>
          <w:sz w:val="22"/>
          <w:szCs w:val="22"/>
        </w:rPr>
        <w:t xml:space="preserve">dictamen </w:t>
      </w:r>
      <w:r w:rsidR="00530499">
        <w:rPr>
          <w:rFonts w:ascii="AvantGarde Bk BT" w:hAnsi="AvantGarde Bk BT" w:cs="Arial"/>
          <w:sz w:val="22"/>
          <w:szCs w:val="22"/>
        </w:rPr>
        <w:t xml:space="preserve">número </w:t>
      </w:r>
      <w:r w:rsidRPr="005B4581">
        <w:rPr>
          <w:rFonts w:ascii="AvantGarde Bk BT" w:hAnsi="AvantGarde Bk BT" w:cs="Arial"/>
          <w:sz w:val="22"/>
          <w:szCs w:val="22"/>
        </w:rPr>
        <w:t>I/201</w:t>
      </w:r>
      <w:r w:rsidR="005B4581" w:rsidRPr="005B4581">
        <w:rPr>
          <w:rFonts w:ascii="AvantGarde Bk BT" w:hAnsi="AvantGarde Bk BT" w:cs="Arial"/>
          <w:sz w:val="22"/>
          <w:szCs w:val="22"/>
        </w:rPr>
        <w:t>1</w:t>
      </w:r>
      <w:r w:rsidRPr="005B4581">
        <w:rPr>
          <w:rFonts w:ascii="AvantGarde Bk BT" w:hAnsi="AvantGarde Bk BT" w:cs="Arial"/>
          <w:sz w:val="22"/>
          <w:szCs w:val="22"/>
        </w:rPr>
        <w:t>/</w:t>
      </w:r>
      <w:r w:rsidR="005B4581" w:rsidRPr="005B4581">
        <w:rPr>
          <w:rFonts w:ascii="AvantGarde Bk BT" w:hAnsi="AvantGarde Bk BT" w:cs="Arial"/>
          <w:sz w:val="22"/>
          <w:szCs w:val="22"/>
        </w:rPr>
        <w:t>290</w:t>
      </w:r>
      <w:r w:rsidR="003065D5">
        <w:rPr>
          <w:rFonts w:ascii="AvantGarde Bk BT" w:hAnsi="AvantGarde Bk BT" w:cs="Arial"/>
          <w:sz w:val="22"/>
          <w:szCs w:val="22"/>
        </w:rPr>
        <w:t>,</w:t>
      </w:r>
      <w:r w:rsidR="00563360" w:rsidRPr="005B4581">
        <w:rPr>
          <w:rFonts w:ascii="AvantGarde Bk BT" w:hAnsi="AvantGarde Bk BT" w:cs="Arial"/>
          <w:sz w:val="22"/>
          <w:szCs w:val="22"/>
        </w:rPr>
        <w:t xml:space="preserve"> </w:t>
      </w:r>
      <w:r w:rsidR="00530499">
        <w:rPr>
          <w:rFonts w:ascii="AvantGarde Bk BT" w:hAnsi="AvantGarde Bk BT" w:cs="Arial"/>
          <w:sz w:val="22"/>
          <w:szCs w:val="22"/>
        </w:rPr>
        <w:t xml:space="preserve">relacionado con la </w:t>
      </w:r>
      <w:r w:rsidR="005B4581" w:rsidRPr="005B4581">
        <w:rPr>
          <w:rFonts w:ascii="AvantGarde Bk BT" w:hAnsi="AvantGarde Bk BT"/>
          <w:sz w:val="22"/>
          <w:szCs w:val="22"/>
        </w:rPr>
        <w:t>modificación y cambio de nombre del programa académico de la Maestría en Gestión y Desarrollo Cultural</w:t>
      </w:r>
      <w:r w:rsidR="00530499">
        <w:rPr>
          <w:rFonts w:ascii="AvantGarde Bk BT" w:hAnsi="AvantGarde Bk BT"/>
          <w:sz w:val="22"/>
          <w:szCs w:val="22"/>
        </w:rPr>
        <w:t>,</w:t>
      </w:r>
      <w:r w:rsidR="005B4581" w:rsidRPr="005B4581">
        <w:rPr>
          <w:rFonts w:ascii="AvantGarde Bk BT" w:hAnsi="AvantGarde Bk BT"/>
          <w:sz w:val="22"/>
          <w:szCs w:val="22"/>
        </w:rPr>
        <w:t xml:space="preserve"> con orientaciones en Investigación y Gestión Cultural, Políticas Públicas en el Campo de la Cultura y Mercadotecnia Cultural, de la Red Universitaria</w:t>
      </w:r>
      <w:r w:rsidR="00EE61F5">
        <w:rPr>
          <w:rFonts w:ascii="AvantGarde Bk BT" w:hAnsi="AvantGarde Bk BT"/>
          <w:sz w:val="22"/>
          <w:szCs w:val="22"/>
        </w:rPr>
        <w:t>,</w:t>
      </w:r>
      <w:r w:rsidR="005B4581" w:rsidRPr="005B4581">
        <w:rPr>
          <w:rFonts w:ascii="AvantGarde Bk BT" w:hAnsi="AvantGarde Bk BT"/>
          <w:sz w:val="22"/>
          <w:szCs w:val="22"/>
        </w:rPr>
        <w:t xml:space="preserve"> con sede en el Centro Universitario de Arte, Arquitectura y Diseño, a parti</w:t>
      </w:r>
      <w:r w:rsidR="00530499">
        <w:rPr>
          <w:rFonts w:ascii="AvantGarde Bk BT" w:hAnsi="AvantGarde Bk BT"/>
          <w:sz w:val="22"/>
          <w:szCs w:val="22"/>
        </w:rPr>
        <w:t>r del ciclo escolar 2011 “</w:t>
      </w:r>
      <w:r w:rsidR="005B4581" w:rsidRPr="005B4581">
        <w:rPr>
          <w:rFonts w:ascii="AvantGarde Bk BT" w:hAnsi="AvantGarde Bk BT"/>
          <w:sz w:val="22"/>
          <w:szCs w:val="22"/>
        </w:rPr>
        <w:t>A</w:t>
      </w:r>
      <w:r w:rsidR="00530499">
        <w:rPr>
          <w:rFonts w:ascii="AvantGarde Bk BT" w:hAnsi="AvantGarde Bk BT"/>
          <w:sz w:val="22"/>
          <w:szCs w:val="22"/>
        </w:rPr>
        <w:t>”</w:t>
      </w:r>
      <w:r w:rsidR="005B4581" w:rsidRPr="005B4581">
        <w:rPr>
          <w:rFonts w:ascii="AvantGarde Bk BT" w:hAnsi="AvantGarde Bk BT"/>
          <w:sz w:val="22"/>
          <w:szCs w:val="22"/>
        </w:rPr>
        <w:t>.</w:t>
      </w:r>
    </w:p>
    <w:p w:rsidR="005B4581" w:rsidRPr="005B4581" w:rsidRDefault="005B4581" w:rsidP="005B4581">
      <w:pPr>
        <w:ind w:right="57"/>
        <w:jc w:val="both"/>
        <w:rPr>
          <w:rFonts w:ascii="AvantGarde Bk BT" w:hAnsi="AvantGarde Bk BT"/>
          <w:sz w:val="22"/>
          <w:szCs w:val="22"/>
        </w:rPr>
      </w:pPr>
    </w:p>
    <w:p w:rsidR="00530499" w:rsidRPr="00530499" w:rsidRDefault="00DA2114" w:rsidP="001C2FD9">
      <w:pPr>
        <w:numPr>
          <w:ilvl w:val="0"/>
          <w:numId w:val="12"/>
        </w:numPr>
        <w:ind w:left="426" w:right="57"/>
        <w:jc w:val="both"/>
        <w:rPr>
          <w:rFonts w:ascii="AvantGarde Bk BT" w:hAnsi="AvantGarde Bk BT"/>
          <w:sz w:val="22"/>
          <w:szCs w:val="22"/>
        </w:rPr>
      </w:pPr>
      <w:r w:rsidRPr="002C65D8">
        <w:rPr>
          <w:rFonts w:ascii="AvantGarde Bk BT" w:hAnsi="AvantGarde Bk BT"/>
          <w:sz w:val="22"/>
          <w:szCs w:val="22"/>
          <w:lang w:val="es-ES_tradnl"/>
        </w:rPr>
        <w:t>Que</w:t>
      </w:r>
      <w:r w:rsidR="002C65D8">
        <w:rPr>
          <w:rFonts w:ascii="AvantGarde Bk BT" w:hAnsi="AvantGarde Bk BT"/>
          <w:sz w:val="22"/>
          <w:szCs w:val="22"/>
          <w:lang w:val="es-ES_tradnl"/>
        </w:rPr>
        <w:t xml:space="preserve"> la Junta Académica</w:t>
      </w:r>
      <w:r w:rsidRPr="002C65D8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3065D5">
        <w:rPr>
          <w:rFonts w:ascii="AvantGarde Bk BT" w:hAnsi="AvantGarde Bk BT"/>
          <w:sz w:val="22"/>
          <w:szCs w:val="22"/>
          <w:lang w:val="es-ES_tradnl"/>
        </w:rPr>
        <w:t>realizó una revisión</w:t>
      </w:r>
      <w:r w:rsidR="002C65D8">
        <w:rPr>
          <w:rFonts w:ascii="AvantGarde Bk BT" w:hAnsi="AvantGarde Bk BT"/>
          <w:sz w:val="22"/>
          <w:szCs w:val="22"/>
          <w:lang w:val="es-ES_tradnl"/>
        </w:rPr>
        <w:t xml:space="preserve"> del</w:t>
      </w:r>
      <w:r w:rsidR="002C65D8" w:rsidRPr="002C65D8">
        <w:rPr>
          <w:rFonts w:ascii="AvantGarde Bk BT" w:hAnsi="AvantGarde Bk BT"/>
          <w:sz w:val="22"/>
          <w:szCs w:val="22"/>
          <w:lang w:val="es-ES_tradnl"/>
        </w:rPr>
        <w:t xml:space="preserve"> programa acad</w:t>
      </w:r>
      <w:r w:rsidR="002C65D8">
        <w:rPr>
          <w:rFonts w:ascii="AvantGarde Bk BT" w:hAnsi="AvantGarde Bk BT"/>
          <w:sz w:val="22"/>
          <w:szCs w:val="22"/>
          <w:lang w:val="es-ES_tradnl"/>
        </w:rPr>
        <w:t>émico</w:t>
      </w:r>
      <w:r w:rsidR="003065D5">
        <w:rPr>
          <w:rFonts w:ascii="AvantGarde Bk BT" w:hAnsi="AvantGarde Bk BT"/>
          <w:sz w:val="22"/>
          <w:szCs w:val="22"/>
          <w:lang w:val="es-ES_tradnl"/>
        </w:rPr>
        <w:t>,</w:t>
      </w:r>
      <w:r w:rsidR="0074321F">
        <w:rPr>
          <w:rFonts w:ascii="AvantGarde Bk BT" w:hAnsi="AvantGarde Bk BT"/>
          <w:sz w:val="22"/>
          <w:szCs w:val="22"/>
          <w:lang w:val="es-ES_tradnl"/>
        </w:rPr>
        <w:t xml:space="preserve"> observando que la orientación de Políticas Públicas en el Campo de la Cultura</w:t>
      </w:r>
      <w:r w:rsidR="00530499">
        <w:rPr>
          <w:rFonts w:ascii="AvantGarde Bk BT" w:hAnsi="AvantGarde Bk BT"/>
          <w:sz w:val="22"/>
          <w:szCs w:val="22"/>
          <w:lang w:val="es-ES_tradnl"/>
        </w:rPr>
        <w:t>,</w:t>
      </w:r>
      <w:r w:rsidR="0074321F">
        <w:rPr>
          <w:rFonts w:ascii="AvantGarde Bk BT" w:hAnsi="AvantGarde Bk BT"/>
          <w:sz w:val="22"/>
          <w:szCs w:val="22"/>
          <w:lang w:val="es-ES_tradnl"/>
        </w:rPr>
        <w:t xml:space="preserve"> no incluye la unidad de aprendizaje de </w:t>
      </w:r>
      <w:r w:rsidR="00530499">
        <w:rPr>
          <w:rFonts w:ascii="AvantGarde Bk BT" w:hAnsi="AvantGarde Bk BT"/>
          <w:sz w:val="22"/>
          <w:szCs w:val="22"/>
          <w:lang w:val="es-ES_tradnl"/>
        </w:rPr>
        <w:t>“</w:t>
      </w:r>
      <w:r w:rsidR="0074321F">
        <w:rPr>
          <w:rFonts w:ascii="AvantGarde Bk BT" w:hAnsi="AvantGarde Bk BT"/>
          <w:sz w:val="22"/>
          <w:szCs w:val="22"/>
          <w:lang w:val="es-ES_tradnl"/>
        </w:rPr>
        <w:t>Soste</w:t>
      </w:r>
      <w:r w:rsidR="00DA2016">
        <w:rPr>
          <w:rFonts w:ascii="AvantGarde Bk BT" w:hAnsi="AvantGarde Bk BT"/>
          <w:sz w:val="22"/>
          <w:szCs w:val="22"/>
          <w:lang w:val="es-ES_tradnl"/>
        </w:rPr>
        <w:t>nibilidad y Desarrollo Cultural</w:t>
      </w:r>
      <w:r w:rsidR="00530499">
        <w:rPr>
          <w:rFonts w:ascii="AvantGarde Bk BT" w:hAnsi="AvantGarde Bk BT"/>
          <w:sz w:val="22"/>
          <w:szCs w:val="22"/>
          <w:lang w:val="es-ES_tradnl"/>
        </w:rPr>
        <w:t>”.</w:t>
      </w:r>
    </w:p>
    <w:p w:rsidR="00530499" w:rsidRPr="00530499" w:rsidRDefault="00530499" w:rsidP="00530499">
      <w:pPr>
        <w:rPr>
          <w:rFonts w:ascii="AvantGarde Bk BT" w:hAnsi="AvantGarde Bk BT"/>
          <w:sz w:val="22"/>
          <w:szCs w:val="22"/>
          <w:lang w:val="es-ES_tradnl"/>
        </w:rPr>
      </w:pPr>
    </w:p>
    <w:p w:rsidR="0074321F" w:rsidRPr="001C2FD9" w:rsidRDefault="00530499" w:rsidP="001C2FD9">
      <w:pPr>
        <w:numPr>
          <w:ilvl w:val="0"/>
          <w:numId w:val="12"/>
        </w:numPr>
        <w:ind w:left="426" w:right="57"/>
        <w:jc w:val="both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Asimismo, </w:t>
      </w:r>
      <w:r w:rsidR="0074321F">
        <w:rPr>
          <w:rFonts w:ascii="AvantGarde Bk BT" w:hAnsi="AvantGarde Bk BT"/>
          <w:sz w:val="22"/>
          <w:szCs w:val="22"/>
          <w:lang w:val="es-ES_tradnl"/>
        </w:rPr>
        <w:t xml:space="preserve">la materia </w:t>
      </w:r>
      <w:r w:rsidR="007268D2">
        <w:rPr>
          <w:rFonts w:ascii="AvantGarde Bk BT" w:hAnsi="AvantGarde Bk BT"/>
          <w:sz w:val="22"/>
          <w:szCs w:val="22"/>
          <w:lang w:val="es-ES_tradnl"/>
        </w:rPr>
        <w:t>“</w:t>
      </w:r>
      <w:r w:rsidR="0074321F">
        <w:rPr>
          <w:rFonts w:ascii="AvantGarde Bk BT" w:hAnsi="AvantGarde Bk BT"/>
          <w:sz w:val="22"/>
          <w:szCs w:val="22"/>
          <w:lang w:val="es-ES_tradnl"/>
        </w:rPr>
        <w:t xml:space="preserve">Teorías y Técnicas de Promoción </w:t>
      </w:r>
      <w:r w:rsidR="0074321F">
        <w:rPr>
          <w:rFonts w:ascii="AvantGarde Bk BT" w:hAnsi="AvantGarde Bk BT"/>
          <w:sz w:val="22"/>
          <w:szCs w:val="22"/>
        </w:rPr>
        <w:t>Cultural</w:t>
      </w:r>
      <w:r w:rsidR="007268D2">
        <w:rPr>
          <w:rFonts w:ascii="AvantGarde Bk BT" w:hAnsi="AvantGarde Bk BT"/>
          <w:sz w:val="22"/>
          <w:szCs w:val="22"/>
        </w:rPr>
        <w:t>”</w:t>
      </w:r>
      <w:r w:rsidR="00DA2016">
        <w:rPr>
          <w:rFonts w:ascii="AvantGarde Bk BT" w:hAnsi="AvantGarde Bk BT"/>
          <w:sz w:val="22"/>
          <w:szCs w:val="22"/>
        </w:rPr>
        <w:t>,</w:t>
      </w:r>
      <w:r w:rsidR="0074321F">
        <w:rPr>
          <w:rFonts w:ascii="AvantGarde Bk BT" w:hAnsi="AvantGarde Bk BT"/>
          <w:sz w:val="22"/>
          <w:szCs w:val="22"/>
        </w:rPr>
        <w:t xml:space="preserve"> únicamente corresponde </w:t>
      </w:r>
      <w:r>
        <w:rPr>
          <w:rFonts w:ascii="AvantGarde Bk BT" w:hAnsi="AvantGarde Bk BT"/>
          <w:sz w:val="22"/>
          <w:szCs w:val="22"/>
        </w:rPr>
        <w:t xml:space="preserve">a </w:t>
      </w:r>
      <w:r w:rsidR="0074321F">
        <w:rPr>
          <w:rFonts w:ascii="AvantGarde Bk BT" w:hAnsi="AvantGarde Bk BT"/>
          <w:sz w:val="22"/>
          <w:szCs w:val="22"/>
        </w:rPr>
        <w:t xml:space="preserve">la orientación de Investigación y </w:t>
      </w:r>
      <w:r>
        <w:rPr>
          <w:rFonts w:ascii="AvantGarde Bk BT" w:hAnsi="AvantGarde Bk BT"/>
          <w:sz w:val="22"/>
          <w:szCs w:val="22"/>
        </w:rPr>
        <w:t xml:space="preserve">Docencia de la Cultura y no a la de Gestión y Promoción Cultural, en donde también se encuentra y por lo tanto, </w:t>
      </w:r>
      <w:r w:rsidR="003065D5">
        <w:rPr>
          <w:rFonts w:ascii="AvantGarde Bk BT" w:hAnsi="AvantGarde Bk BT"/>
          <w:sz w:val="22"/>
          <w:szCs w:val="22"/>
        </w:rPr>
        <w:t>está duplicada</w:t>
      </w:r>
      <w:r w:rsidR="0074321F">
        <w:rPr>
          <w:rFonts w:ascii="AvantGarde Bk BT" w:hAnsi="AvantGarde Bk BT"/>
          <w:sz w:val="22"/>
          <w:szCs w:val="22"/>
        </w:rPr>
        <w:t>.</w:t>
      </w:r>
    </w:p>
    <w:p w:rsidR="0032460C" w:rsidRPr="00DA2114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</w:rPr>
      </w:pPr>
    </w:p>
    <w:p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F4167A" w:rsidRDefault="00F4167A">
      <w:pPr>
        <w:spacing w:after="200" w:line="276" w:lineRule="auto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 w:cs="Arial"/>
          <w:sz w:val="22"/>
          <w:szCs w:val="22"/>
          <w:lang w:val="pt-BR"/>
        </w:rPr>
        <w:br w:type="page"/>
      </w: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lastRenderedPageBreak/>
        <w:t xml:space="preserve">C o n s i d e r a n d o: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Pr="0032460C">
        <w:rPr>
          <w:rFonts w:ascii="AvantGarde Bk BT" w:hAnsi="AvantGarde Bk BT" w:cs="Arial"/>
          <w:sz w:val="22"/>
          <w:szCs w:val="22"/>
        </w:rPr>
        <w:t>o. 15319 del H. Congreso del Estado de Jalisco.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DA2016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DF5AC3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:rsidR="00F4167A" w:rsidRDefault="00F4167A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7154FA" w:rsidRDefault="0032460C" w:rsidP="007154FA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:rsidR="007154FA" w:rsidRPr="00C13584" w:rsidRDefault="007154FA" w:rsidP="00C13584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7154FA" w:rsidRDefault="0032460C" w:rsidP="00C13584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7154FA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de conformidad con el artículo 86, fracción IV del Estatuto General, es atribución de la Comisión de Hacienda proponer al Consejo General Universitario el proyecto de aranceles y contribuciones de la Universidad de Guadalajara.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C95C9D" w:rsidRDefault="005D6DD5" w:rsidP="0032460C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74704F">
        <w:rPr>
          <w:rFonts w:ascii="AvantGarde Bk BT" w:hAnsi="AvantGarde Bk BT" w:cs="Arial"/>
          <w:spacing w:val="-2"/>
          <w:sz w:val="22"/>
          <w:szCs w:val="22"/>
        </w:rPr>
        <w:t>Que tal y como lo prevé el artículo 9</w:t>
      </w:r>
      <w:r w:rsidR="007154FA">
        <w:rPr>
          <w:rFonts w:ascii="AvantGarde Bk BT" w:hAnsi="AvantGarde Bk BT" w:cs="Arial"/>
          <w:spacing w:val="-2"/>
          <w:sz w:val="22"/>
          <w:szCs w:val="22"/>
        </w:rPr>
        <w:t>,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 fracción I del Estatuto Orgánico del </w:t>
      </w:r>
      <w:r w:rsidRPr="0074704F">
        <w:rPr>
          <w:rFonts w:ascii="AvantGarde Bk BT" w:hAnsi="AvantGarde Bk BT" w:cs="Arial"/>
          <w:sz w:val="22"/>
          <w:szCs w:val="22"/>
          <w:lang w:val="es-ES_tradnl"/>
        </w:rPr>
        <w:t>Centro Universitario de Arte, Arquitectura y Diseño</w:t>
      </w:r>
      <w:r w:rsidRPr="0074704F">
        <w:rPr>
          <w:rFonts w:ascii="AvantGarde Bk BT" w:hAnsi="AvantGarde Bk BT" w:cs="Arial"/>
          <w:spacing w:val="-2"/>
          <w:sz w:val="22"/>
          <w:szCs w:val="22"/>
        </w:rPr>
        <w:t xml:space="preserve">, </w:t>
      </w:r>
      <w:r w:rsidR="0032460C" w:rsidRPr="00C95C9D">
        <w:rPr>
          <w:rFonts w:ascii="AvantGarde Bk BT" w:hAnsi="AvantGarde Bk BT"/>
          <w:spacing w:val="-2"/>
          <w:sz w:val="22"/>
          <w:szCs w:val="22"/>
        </w:rPr>
        <w:t>es atribución de la</w:t>
      </w:r>
      <w:r w:rsidR="006F4E5D" w:rsidRPr="00C95C9D">
        <w:rPr>
          <w:rFonts w:ascii="AvantGarde Bk BT" w:hAnsi="AvantGarde Bk BT"/>
          <w:spacing w:val="-2"/>
          <w:sz w:val="22"/>
          <w:szCs w:val="22"/>
        </w:rPr>
        <w:t xml:space="preserve"> Comisión de Educación de este c</w:t>
      </w:r>
      <w:r w:rsidR="0032460C" w:rsidRPr="00C95C9D">
        <w:rPr>
          <w:rFonts w:ascii="AvantGarde Bk BT" w:hAnsi="AvantGarde Bk BT"/>
          <w:spacing w:val="-2"/>
          <w:sz w:val="22"/>
          <w:szCs w:val="22"/>
        </w:rPr>
        <w:t>entro dictaminar sobre la pertinencia y viabilidad de las propuestas para la creación, modificación o supresión de carreras y programas de posgrado a fin de remitirlas, en su caso, al H. Consejo General Universitario.</w:t>
      </w:r>
    </w:p>
    <w:p w:rsidR="0032460C" w:rsidRPr="0032460C" w:rsidRDefault="0032460C" w:rsidP="0032460C">
      <w:pPr>
        <w:pStyle w:val="Prrafodelista"/>
        <w:rPr>
          <w:rFonts w:ascii="AvantGarde Bk BT" w:hAnsi="AvantGarde Bk BT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estas Comisiones Permanentes Conjuntas de Educación y de Hacienda tienen a bien proponer al pleno del H. Consejo General Universitario los siguientes</w:t>
      </w:r>
    </w:p>
    <w:p w:rsidR="00C13584" w:rsidRDefault="00C13584" w:rsidP="00C13584">
      <w:pPr>
        <w:rPr>
          <w:rFonts w:ascii="AvantGarde Bk BT" w:hAnsi="AvantGarde Bk BT" w:cs="Arial"/>
          <w:sz w:val="22"/>
          <w:szCs w:val="22"/>
          <w:lang w:val="pt-BR"/>
        </w:rPr>
      </w:pPr>
    </w:p>
    <w:p w:rsidR="00F4167A" w:rsidRDefault="00F4167A">
      <w:pPr>
        <w:spacing w:after="200" w:line="276" w:lineRule="auto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 w:cs="Arial"/>
          <w:sz w:val="22"/>
          <w:szCs w:val="22"/>
          <w:lang w:val="pt-BR"/>
        </w:rPr>
        <w:br w:type="page"/>
      </w: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lastRenderedPageBreak/>
        <w:t>R e s o l u t i v o s:</w:t>
      </w:r>
    </w:p>
    <w:p w:rsidR="0032460C" w:rsidRPr="0032460C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:rsidR="004B03E4" w:rsidRPr="00F31151" w:rsidRDefault="004B03E4" w:rsidP="004B03E4">
      <w:pPr>
        <w:jc w:val="both"/>
        <w:rPr>
          <w:rFonts w:ascii="AvantGarde Bk BT" w:hAnsi="AvantGarde Bk BT"/>
          <w:color w:val="000000"/>
          <w:sz w:val="22"/>
          <w:szCs w:val="22"/>
        </w:rPr>
      </w:pPr>
      <w:r w:rsidRPr="00F31151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Pr="00F31151">
        <w:rPr>
          <w:rFonts w:ascii="AvantGarde Bk BT" w:hAnsi="AvantGarde Bk BT" w:cs="Arial"/>
          <w:sz w:val="22"/>
          <w:szCs w:val="22"/>
          <w:lang w:val="es-ES_tradnl"/>
        </w:rPr>
        <w:t xml:space="preserve"> </w:t>
      </w:r>
      <w:r w:rsidRPr="00F31151">
        <w:rPr>
          <w:rFonts w:ascii="AvantGarde Bk BT" w:hAnsi="AvantGarde Bk BT"/>
          <w:sz w:val="22"/>
          <w:szCs w:val="22"/>
        </w:rPr>
        <w:t xml:space="preserve">Se </w:t>
      </w:r>
      <w:r>
        <w:rPr>
          <w:rFonts w:ascii="AvantGarde Bk BT" w:hAnsi="AvantGarde Bk BT"/>
          <w:sz w:val="22"/>
          <w:szCs w:val="22"/>
        </w:rPr>
        <w:t xml:space="preserve">modifica </w:t>
      </w:r>
      <w:r w:rsidR="001C2FD9">
        <w:rPr>
          <w:rFonts w:ascii="AvantGarde Bk BT" w:hAnsi="AvantGarde Bk BT"/>
          <w:sz w:val="22"/>
          <w:szCs w:val="22"/>
        </w:rPr>
        <w:t xml:space="preserve">el resolutivo segundo del dictamen </w:t>
      </w:r>
      <w:r w:rsidR="001C2FD9" w:rsidRPr="005B4581">
        <w:rPr>
          <w:rFonts w:ascii="AvantGarde Bk BT" w:hAnsi="AvantGarde Bk BT" w:cs="Arial"/>
          <w:sz w:val="22"/>
          <w:szCs w:val="22"/>
        </w:rPr>
        <w:t>I/2011/290</w:t>
      </w:r>
      <w:r w:rsidR="007154FA">
        <w:rPr>
          <w:rFonts w:ascii="AvantGarde Bk BT" w:hAnsi="AvantGarde Bk BT" w:cs="Arial"/>
          <w:sz w:val="22"/>
          <w:szCs w:val="22"/>
        </w:rPr>
        <w:t>,</w:t>
      </w:r>
      <w:r w:rsidR="001C2FD9" w:rsidRPr="005B4581">
        <w:rPr>
          <w:rFonts w:ascii="AvantGarde Bk BT" w:hAnsi="AvantGarde Bk BT" w:cs="Arial"/>
          <w:sz w:val="22"/>
          <w:szCs w:val="22"/>
        </w:rPr>
        <w:t xml:space="preserve"> de fecha 8 de julio de 2011</w:t>
      </w:r>
      <w:r w:rsidR="00E81491">
        <w:rPr>
          <w:rFonts w:ascii="AvantGarde Bk BT" w:hAnsi="AvantGarde Bk BT" w:cs="Arial"/>
          <w:sz w:val="22"/>
          <w:szCs w:val="22"/>
        </w:rPr>
        <w:t>,</w:t>
      </w:r>
      <w:r w:rsidR="001C2FD9" w:rsidRPr="001C2FD9">
        <w:t xml:space="preserve"> </w:t>
      </w:r>
      <w:r w:rsidR="001C2FD9" w:rsidRPr="001C2FD9">
        <w:rPr>
          <w:rFonts w:ascii="AvantGarde Bk BT" w:hAnsi="AvantGarde Bk BT" w:cs="Arial"/>
          <w:sz w:val="22"/>
          <w:szCs w:val="22"/>
        </w:rPr>
        <w:t>a</w:t>
      </w:r>
      <w:r w:rsidR="001C2FD9">
        <w:rPr>
          <w:rFonts w:ascii="AvantGarde Bk BT" w:hAnsi="AvantGarde Bk BT" w:cs="Arial"/>
          <w:sz w:val="22"/>
          <w:szCs w:val="22"/>
        </w:rPr>
        <w:t xml:space="preserve"> través del cual se a</w:t>
      </w:r>
      <w:r w:rsidR="001C2FD9" w:rsidRPr="001C2FD9">
        <w:rPr>
          <w:rFonts w:ascii="AvantGarde Bk BT" w:hAnsi="AvantGarde Bk BT" w:cs="Arial"/>
          <w:sz w:val="22"/>
          <w:szCs w:val="22"/>
        </w:rPr>
        <w:t>probó la modificación y cambio de nombre del programa académico de la Maestría en Gestión y Desarrollo Cultural</w:t>
      </w:r>
      <w:r w:rsidR="00C13584">
        <w:rPr>
          <w:rFonts w:ascii="AvantGarde Bk BT" w:hAnsi="AvantGarde Bk BT" w:cs="Arial"/>
          <w:sz w:val="22"/>
          <w:szCs w:val="22"/>
        </w:rPr>
        <w:t>,</w:t>
      </w:r>
      <w:r w:rsidR="001C2FD9" w:rsidRPr="001C2FD9">
        <w:rPr>
          <w:rFonts w:ascii="AvantGarde Bk BT" w:hAnsi="AvantGarde Bk BT" w:cs="Arial"/>
          <w:sz w:val="22"/>
          <w:szCs w:val="22"/>
        </w:rPr>
        <w:t xml:space="preserve"> con orientaciones en Investigación y Gestión Cultural, Políticas Públicas en el Campo de la Cultura y Mercadotecnia Cultural, de la Red Universitaria</w:t>
      </w:r>
      <w:r w:rsidR="007154FA">
        <w:rPr>
          <w:rFonts w:ascii="AvantGarde Bk BT" w:hAnsi="AvantGarde Bk BT" w:cs="Arial"/>
          <w:sz w:val="22"/>
          <w:szCs w:val="22"/>
        </w:rPr>
        <w:t>,</w:t>
      </w:r>
      <w:r w:rsidR="001C2FD9" w:rsidRPr="001C2FD9">
        <w:rPr>
          <w:rFonts w:ascii="AvantGarde Bk BT" w:hAnsi="AvantGarde Bk BT" w:cs="Arial"/>
          <w:sz w:val="22"/>
          <w:szCs w:val="22"/>
        </w:rPr>
        <w:t xml:space="preserve"> con sede en el Centro Universitario de Arte, Arquitectura y Diseño, a partir del ciclo </w:t>
      </w:r>
      <w:r w:rsidR="001C2FD9" w:rsidRPr="00696A5D">
        <w:rPr>
          <w:rFonts w:ascii="AvantGarde Bk BT" w:hAnsi="AvantGarde Bk BT" w:cs="Arial"/>
          <w:sz w:val="22"/>
          <w:szCs w:val="22"/>
        </w:rPr>
        <w:t>escolar 201</w:t>
      </w:r>
      <w:r w:rsidR="00DF6715">
        <w:rPr>
          <w:rFonts w:ascii="AvantGarde Bk BT" w:hAnsi="AvantGarde Bk BT" w:cs="Arial"/>
          <w:sz w:val="22"/>
          <w:szCs w:val="22"/>
        </w:rPr>
        <w:t>3</w:t>
      </w:r>
      <w:r w:rsidR="00C13584">
        <w:rPr>
          <w:rFonts w:ascii="AvantGarde Bk BT" w:hAnsi="AvantGarde Bk BT" w:cs="Arial"/>
          <w:sz w:val="22"/>
          <w:szCs w:val="22"/>
        </w:rPr>
        <w:t xml:space="preserve"> “</w:t>
      </w:r>
      <w:r w:rsidR="001C2FD9" w:rsidRPr="00696A5D">
        <w:rPr>
          <w:rFonts w:ascii="AvantGarde Bk BT" w:hAnsi="AvantGarde Bk BT" w:cs="Arial"/>
          <w:sz w:val="22"/>
          <w:szCs w:val="22"/>
        </w:rPr>
        <w:t>A</w:t>
      </w:r>
      <w:r w:rsidR="00C13584">
        <w:rPr>
          <w:rFonts w:ascii="AvantGarde Bk BT" w:hAnsi="AvantGarde Bk BT" w:cs="Arial"/>
          <w:sz w:val="22"/>
          <w:szCs w:val="22"/>
        </w:rPr>
        <w:t>”,</w:t>
      </w:r>
      <w:r w:rsidRPr="00F31151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291C87" w:rsidRPr="00AB2EE4">
        <w:rPr>
          <w:rFonts w:ascii="AvantGarde Bk BT" w:hAnsi="AvantGarde Bk BT"/>
          <w:b/>
          <w:color w:val="000000"/>
          <w:sz w:val="22"/>
          <w:szCs w:val="22"/>
        </w:rPr>
        <w:t xml:space="preserve">en </w:t>
      </w:r>
      <w:r w:rsidR="007154FA" w:rsidRPr="00AB2EE4">
        <w:rPr>
          <w:rFonts w:ascii="AvantGarde Bk BT" w:hAnsi="AvantGarde Bk BT"/>
          <w:b/>
          <w:color w:val="000000"/>
          <w:sz w:val="22"/>
          <w:szCs w:val="22"/>
        </w:rPr>
        <w:t>cuanto a</w:t>
      </w:r>
      <w:r w:rsidR="00AB2EE4">
        <w:rPr>
          <w:rFonts w:ascii="AvantGarde Bk BT" w:hAnsi="AvantGarde Bk BT"/>
          <w:b/>
          <w:color w:val="000000"/>
          <w:sz w:val="22"/>
          <w:szCs w:val="22"/>
        </w:rPr>
        <w:t xml:space="preserve">l nombre de la unidad de </w:t>
      </w:r>
      <w:r w:rsidR="00291C87" w:rsidRPr="00AB2EE4">
        <w:rPr>
          <w:rFonts w:ascii="AvantGarde Bk BT" w:hAnsi="AvantGarde Bk BT"/>
          <w:b/>
          <w:color w:val="000000"/>
          <w:sz w:val="22"/>
          <w:szCs w:val="22"/>
        </w:rPr>
        <w:t xml:space="preserve">aprendizaje </w:t>
      </w:r>
      <w:r w:rsidR="00AB2EE4">
        <w:rPr>
          <w:rFonts w:ascii="AvantGarde Bk BT" w:hAnsi="AvantGarde Bk BT"/>
          <w:b/>
          <w:color w:val="000000"/>
          <w:sz w:val="22"/>
          <w:szCs w:val="22"/>
        </w:rPr>
        <w:t xml:space="preserve">“Teoría y Técnicas de Promoción Cultural” al de “Sostenibilidad y Desarrollo Cultural”, </w:t>
      </w:r>
      <w:r w:rsidR="00291C87" w:rsidRPr="00AB2EE4">
        <w:rPr>
          <w:rFonts w:ascii="AvantGarde Bk BT" w:hAnsi="AvantGarde Bk BT"/>
          <w:b/>
          <w:color w:val="000000"/>
          <w:sz w:val="22"/>
          <w:szCs w:val="22"/>
        </w:rPr>
        <w:t xml:space="preserve">de la orientación </w:t>
      </w:r>
      <w:r w:rsidR="00C13584" w:rsidRPr="00AB2EE4">
        <w:rPr>
          <w:rFonts w:ascii="AvantGarde Bk BT" w:hAnsi="AvantGarde Bk BT"/>
          <w:b/>
          <w:color w:val="000000"/>
          <w:sz w:val="22"/>
          <w:szCs w:val="22"/>
        </w:rPr>
        <w:t>“</w:t>
      </w:r>
      <w:r w:rsidR="007154FA" w:rsidRPr="00AB2EE4">
        <w:rPr>
          <w:rFonts w:ascii="AvantGarde Bk BT" w:hAnsi="AvantGarde Bk BT"/>
          <w:b/>
          <w:color w:val="000000"/>
          <w:sz w:val="22"/>
          <w:szCs w:val="22"/>
        </w:rPr>
        <w:t>Políticas Públicas en el Campo de la C</w:t>
      </w:r>
      <w:r w:rsidR="00291C87" w:rsidRPr="00AB2EE4">
        <w:rPr>
          <w:rFonts w:ascii="AvantGarde Bk BT" w:hAnsi="AvantGarde Bk BT"/>
          <w:b/>
          <w:color w:val="000000"/>
          <w:sz w:val="22"/>
          <w:szCs w:val="22"/>
        </w:rPr>
        <w:t>ultura</w:t>
      </w:r>
      <w:r w:rsidR="00C13584" w:rsidRPr="00AB2EE4">
        <w:rPr>
          <w:rFonts w:ascii="AvantGarde Bk BT" w:hAnsi="AvantGarde Bk BT"/>
          <w:b/>
          <w:color w:val="000000"/>
          <w:sz w:val="22"/>
          <w:szCs w:val="22"/>
        </w:rPr>
        <w:t>”</w:t>
      </w:r>
      <w:r w:rsidR="007154FA" w:rsidRPr="00AB2EE4">
        <w:rPr>
          <w:rFonts w:ascii="AvantGarde Bk BT" w:hAnsi="AvantGarde Bk BT"/>
          <w:b/>
          <w:color w:val="000000"/>
          <w:sz w:val="22"/>
          <w:szCs w:val="22"/>
        </w:rPr>
        <w:t>,</w:t>
      </w:r>
      <w:r w:rsidR="00291C87" w:rsidRPr="00AB2EE4">
        <w:rPr>
          <w:rFonts w:ascii="AvantGarde Bk BT" w:hAnsi="AvantGarde Bk BT"/>
          <w:b/>
          <w:color w:val="000000"/>
          <w:sz w:val="22"/>
          <w:szCs w:val="22"/>
        </w:rPr>
        <w:t xml:space="preserve"> </w:t>
      </w:r>
      <w:r w:rsidRPr="00AB2EE4">
        <w:rPr>
          <w:rFonts w:ascii="AvantGarde Bk BT" w:hAnsi="AvantGarde Bk BT"/>
          <w:b/>
          <w:color w:val="000000"/>
          <w:sz w:val="22"/>
          <w:szCs w:val="22"/>
        </w:rPr>
        <w:t>para quedar como sigue:</w:t>
      </w:r>
      <w:r w:rsidRPr="00F31151">
        <w:rPr>
          <w:rFonts w:ascii="AvantGarde Bk BT" w:hAnsi="AvantGarde Bk BT"/>
          <w:color w:val="000000"/>
          <w:sz w:val="22"/>
          <w:szCs w:val="22"/>
        </w:rPr>
        <w:t xml:space="preserve"> </w:t>
      </w:r>
    </w:p>
    <w:p w:rsidR="004B03E4" w:rsidRPr="00F31151" w:rsidRDefault="004B03E4" w:rsidP="004B03E4">
      <w:pPr>
        <w:jc w:val="both"/>
        <w:rPr>
          <w:rFonts w:ascii="AvantGarde Bk BT" w:hAnsi="AvantGarde Bk BT"/>
          <w:color w:val="000000"/>
          <w:sz w:val="22"/>
          <w:szCs w:val="22"/>
        </w:rPr>
      </w:pPr>
    </w:p>
    <w:p w:rsidR="00261C45" w:rsidRPr="004C7584" w:rsidRDefault="004B03E4" w:rsidP="00C13584">
      <w:pPr>
        <w:ind w:left="708" w:right="616"/>
        <w:jc w:val="both"/>
        <w:rPr>
          <w:rFonts w:ascii="AvantGarde Bk BT" w:hAnsi="AvantGarde Bk BT" w:cs="Arial"/>
          <w:i/>
          <w:sz w:val="22"/>
          <w:szCs w:val="22"/>
          <w:lang w:val="es-ES_tradnl"/>
        </w:rPr>
      </w:pPr>
      <w:r w:rsidRPr="007662D7">
        <w:rPr>
          <w:rFonts w:ascii="AvantGarde Bk BT" w:hAnsi="AvantGarde Bk BT" w:cs="Arial"/>
          <w:i/>
          <w:iCs/>
          <w:sz w:val="22"/>
          <w:szCs w:val="22"/>
        </w:rPr>
        <w:t>“</w:t>
      </w:r>
      <w:r w:rsidR="004C7584" w:rsidRPr="004C7584">
        <w:rPr>
          <w:rFonts w:ascii="AvantGarde Bk BT" w:hAnsi="AvantGarde Bk BT" w:cs="Arial"/>
          <w:b/>
          <w:i/>
          <w:sz w:val="22"/>
          <w:szCs w:val="22"/>
          <w:lang w:val="es-ES_tradnl"/>
        </w:rPr>
        <w:t>SEGUNDO</w:t>
      </w:r>
      <w:r w:rsidR="004C7584" w:rsidRPr="004C7584">
        <w:rPr>
          <w:rFonts w:ascii="AvantGarde Bk BT" w:hAnsi="AvantGarde Bk BT" w:cs="Arial"/>
          <w:i/>
          <w:sz w:val="22"/>
          <w:szCs w:val="22"/>
          <w:lang w:val="es-ES_tradnl"/>
        </w:rPr>
        <w:t>. El programa de la Maestría en Gestión y Desarrollo Cultural con orientaciones en Investigación y Gestión Cultural, Políticas Públicas en el Campo de la Cultura y Mercadotecnia Cultural es un programa profesionalizante de modalidad escolarizada y comprende las siguientes áreas de formación y unidades de aprendizaje:</w:t>
      </w:r>
    </w:p>
    <w:p w:rsidR="004B03E4" w:rsidRPr="00F31151" w:rsidRDefault="004B03E4" w:rsidP="00C13584">
      <w:pPr>
        <w:ind w:left="567" w:right="616"/>
        <w:jc w:val="both"/>
        <w:rPr>
          <w:rFonts w:ascii="AvantGarde Bk BT" w:hAnsi="AvantGarde Bk BT" w:cs="Arial"/>
          <w:i/>
          <w:sz w:val="22"/>
          <w:szCs w:val="22"/>
        </w:rPr>
      </w:pPr>
      <w:r w:rsidRPr="00F31151">
        <w:rPr>
          <w:rFonts w:ascii="AvantGarde Bk BT" w:hAnsi="AvantGarde Bk BT" w:cs="Arial"/>
          <w:i/>
          <w:sz w:val="22"/>
          <w:szCs w:val="22"/>
        </w:rPr>
        <w:t xml:space="preserve"> […]”</w:t>
      </w:r>
    </w:p>
    <w:p w:rsidR="00FB58DB" w:rsidRDefault="00FB58DB" w:rsidP="00C13584">
      <w:pPr>
        <w:rPr>
          <w:rFonts w:ascii="AvantGarde Bk BT" w:hAnsi="AvantGarde Bk BT" w:cs="Arial"/>
          <w:i/>
          <w:sz w:val="22"/>
          <w:szCs w:val="22"/>
          <w:lang w:val="es-ES_tradnl"/>
        </w:rPr>
      </w:pPr>
    </w:p>
    <w:p w:rsidR="00C210AF" w:rsidRDefault="00C210AF" w:rsidP="00C210AF">
      <w:pPr>
        <w:spacing w:after="200" w:line="276" w:lineRule="auto"/>
        <w:jc w:val="center"/>
        <w:rPr>
          <w:rFonts w:ascii="AvantGarde Bk BT" w:hAnsi="AvantGarde Bk BT" w:cs="Arial"/>
          <w:i/>
          <w:sz w:val="22"/>
          <w:szCs w:val="22"/>
          <w:lang w:val="es-ES_tradnl"/>
        </w:rPr>
      </w:pPr>
      <w:r>
        <w:rPr>
          <w:rFonts w:ascii="AvantGarde Bk BT" w:hAnsi="AvantGarde Bk BT" w:cs="Arial"/>
          <w:i/>
          <w:sz w:val="22"/>
          <w:szCs w:val="22"/>
          <w:lang w:val="es-ES_tradnl"/>
        </w:rPr>
        <w:t>ÁREA DE FORMACIÓN ESPECIALIZANTE SELECTIVA</w:t>
      </w:r>
    </w:p>
    <w:p w:rsidR="00343104" w:rsidRPr="00343104" w:rsidRDefault="00343104" w:rsidP="00343104">
      <w:pPr>
        <w:spacing w:after="200" w:line="276" w:lineRule="auto"/>
        <w:rPr>
          <w:rFonts w:ascii="AvantGarde Bk BT" w:hAnsi="AvantGarde Bk BT" w:cs="Arial"/>
          <w:i/>
          <w:sz w:val="22"/>
          <w:szCs w:val="22"/>
          <w:lang w:val="es-ES_tradnl"/>
        </w:rPr>
      </w:pPr>
      <w:r w:rsidRPr="00343104">
        <w:rPr>
          <w:rFonts w:ascii="AvantGarde Bk BT" w:hAnsi="AvantGarde Bk BT" w:cs="Arial"/>
          <w:i/>
          <w:sz w:val="22"/>
          <w:szCs w:val="22"/>
          <w:lang w:val="es-ES_tradnl"/>
        </w:rPr>
        <w:t xml:space="preserve">Orientación </w:t>
      </w:r>
      <w:r w:rsidR="00952B50">
        <w:rPr>
          <w:rFonts w:ascii="AvantGarde Bk BT" w:hAnsi="AvantGarde Bk BT" w:cs="Arial"/>
          <w:i/>
          <w:sz w:val="22"/>
          <w:szCs w:val="22"/>
        </w:rPr>
        <w:t>Políticas Públicas en el Campo de la C</w:t>
      </w:r>
      <w:r w:rsidRPr="00343104">
        <w:rPr>
          <w:rFonts w:ascii="AvantGarde Bk BT" w:hAnsi="AvantGarde Bk BT" w:cs="Arial"/>
          <w:i/>
          <w:sz w:val="22"/>
          <w:szCs w:val="22"/>
        </w:rPr>
        <w:t>ultura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851"/>
        <w:gridCol w:w="992"/>
        <w:gridCol w:w="1134"/>
        <w:gridCol w:w="1134"/>
        <w:gridCol w:w="1291"/>
      </w:tblGrid>
      <w:tr w:rsidR="00343104" w:rsidRPr="00343104" w:rsidTr="00291C87">
        <w:trPr>
          <w:jc w:val="center"/>
        </w:trPr>
        <w:tc>
          <w:tcPr>
            <w:tcW w:w="4106" w:type="dxa"/>
            <w:vAlign w:val="center"/>
          </w:tcPr>
          <w:p w:rsidR="00343104" w:rsidRPr="00343104" w:rsidRDefault="00343104" w:rsidP="00C13584">
            <w:pPr>
              <w:spacing w:after="200" w:line="276" w:lineRule="auto"/>
              <w:jc w:val="center"/>
              <w:rPr>
                <w:rFonts w:ascii="AvantGarde Bk BT" w:hAnsi="AvantGarde Bk BT" w:cs="Arial"/>
                <w:b/>
                <w:i/>
                <w:sz w:val="22"/>
                <w:szCs w:val="22"/>
                <w:lang w:val="es-ES_tradnl"/>
              </w:rPr>
            </w:pPr>
            <w:r w:rsidRPr="00343104">
              <w:rPr>
                <w:rFonts w:ascii="AvantGarde Bk BT" w:hAnsi="AvantGarde Bk BT" w:cs="Arial"/>
                <w:b/>
                <w:i/>
                <w:sz w:val="22"/>
                <w:szCs w:val="22"/>
                <w:lang w:val="es-ES_tradnl"/>
              </w:rPr>
              <w:t>UNIDAD DE APRENDIZAJE</w:t>
            </w:r>
          </w:p>
        </w:tc>
        <w:tc>
          <w:tcPr>
            <w:tcW w:w="851" w:type="dxa"/>
            <w:vAlign w:val="center"/>
          </w:tcPr>
          <w:p w:rsidR="00343104" w:rsidRPr="00343104" w:rsidRDefault="00343104" w:rsidP="00343104">
            <w:pPr>
              <w:spacing w:after="200" w:line="276" w:lineRule="auto"/>
              <w:rPr>
                <w:rFonts w:ascii="AvantGarde Bk BT" w:hAnsi="AvantGarde Bk BT" w:cs="Arial"/>
                <w:b/>
                <w:i/>
                <w:sz w:val="22"/>
                <w:szCs w:val="22"/>
                <w:lang w:val="es-ES_tradnl"/>
              </w:rPr>
            </w:pPr>
            <w:r w:rsidRPr="00343104">
              <w:rPr>
                <w:rFonts w:ascii="AvantGarde Bk BT" w:hAnsi="AvantGarde Bk BT" w:cs="Arial"/>
                <w:b/>
                <w:i/>
                <w:sz w:val="22"/>
                <w:szCs w:val="22"/>
                <w:lang w:val="es-ES_tradnl"/>
              </w:rPr>
              <w:t>TIPO</w:t>
            </w:r>
          </w:p>
        </w:tc>
        <w:tc>
          <w:tcPr>
            <w:tcW w:w="992" w:type="dxa"/>
            <w:vAlign w:val="center"/>
          </w:tcPr>
          <w:p w:rsidR="00343104" w:rsidRPr="00343104" w:rsidRDefault="00343104" w:rsidP="00343104">
            <w:pPr>
              <w:spacing w:after="200" w:line="276" w:lineRule="auto"/>
              <w:rPr>
                <w:rFonts w:ascii="AvantGarde Bk BT" w:hAnsi="AvantGarde Bk BT" w:cs="Arial"/>
                <w:b/>
                <w:i/>
                <w:sz w:val="22"/>
                <w:szCs w:val="22"/>
                <w:vertAlign w:val="superscript"/>
                <w:lang w:val="es-ES_tradnl"/>
              </w:rPr>
            </w:pPr>
            <w:r w:rsidRPr="00343104">
              <w:rPr>
                <w:rFonts w:ascii="AvantGarde Bk BT" w:hAnsi="AvantGarde Bk BT" w:cs="Arial"/>
                <w:b/>
                <w:i/>
                <w:sz w:val="22"/>
                <w:szCs w:val="22"/>
                <w:lang w:val="es-ES_tradnl"/>
              </w:rPr>
              <w:t>HORAS BCA*</w:t>
            </w:r>
          </w:p>
        </w:tc>
        <w:tc>
          <w:tcPr>
            <w:tcW w:w="1134" w:type="dxa"/>
            <w:vAlign w:val="center"/>
          </w:tcPr>
          <w:p w:rsidR="00343104" w:rsidRPr="00343104" w:rsidRDefault="00343104" w:rsidP="00343104">
            <w:pPr>
              <w:spacing w:after="200" w:line="276" w:lineRule="auto"/>
              <w:rPr>
                <w:rFonts w:ascii="AvantGarde Bk BT" w:hAnsi="AvantGarde Bk BT" w:cs="Arial"/>
                <w:b/>
                <w:i/>
                <w:sz w:val="22"/>
                <w:szCs w:val="22"/>
                <w:vertAlign w:val="superscript"/>
                <w:lang w:val="es-ES_tradnl"/>
              </w:rPr>
            </w:pPr>
            <w:r w:rsidRPr="00343104">
              <w:rPr>
                <w:rFonts w:ascii="AvantGarde Bk BT" w:hAnsi="AvantGarde Bk BT" w:cs="Arial"/>
                <w:b/>
                <w:i/>
                <w:sz w:val="22"/>
                <w:szCs w:val="22"/>
                <w:lang w:val="es-ES_tradnl"/>
              </w:rPr>
              <w:t>HORAS AMI</w:t>
            </w:r>
            <w:r w:rsidRPr="00343104">
              <w:rPr>
                <w:rFonts w:ascii="AvantGarde Bk BT" w:hAnsi="AvantGarde Bk BT" w:cs="Arial"/>
                <w:b/>
                <w:i/>
                <w:sz w:val="22"/>
                <w:szCs w:val="22"/>
                <w:vertAlign w:val="superscript"/>
                <w:lang w:val="es-ES_tradnl"/>
              </w:rPr>
              <w:t>**</w:t>
            </w:r>
          </w:p>
        </w:tc>
        <w:tc>
          <w:tcPr>
            <w:tcW w:w="1134" w:type="dxa"/>
            <w:vAlign w:val="center"/>
          </w:tcPr>
          <w:p w:rsidR="00343104" w:rsidRPr="00343104" w:rsidRDefault="00343104" w:rsidP="00343104">
            <w:pPr>
              <w:spacing w:after="200" w:line="276" w:lineRule="auto"/>
              <w:rPr>
                <w:rFonts w:ascii="AvantGarde Bk BT" w:hAnsi="AvantGarde Bk BT" w:cs="Arial"/>
                <w:b/>
                <w:i/>
                <w:sz w:val="22"/>
                <w:szCs w:val="22"/>
                <w:lang w:val="es-ES_tradnl"/>
              </w:rPr>
            </w:pPr>
            <w:r w:rsidRPr="00343104">
              <w:rPr>
                <w:rFonts w:ascii="AvantGarde Bk BT" w:hAnsi="AvantGarde Bk BT" w:cs="Arial"/>
                <w:b/>
                <w:i/>
                <w:sz w:val="22"/>
                <w:szCs w:val="22"/>
                <w:lang w:val="es-ES_tradnl"/>
              </w:rPr>
              <w:t>HORAS TOTALES</w:t>
            </w:r>
          </w:p>
        </w:tc>
        <w:tc>
          <w:tcPr>
            <w:tcW w:w="1291" w:type="dxa"/>
            <w:vAlign w:val="center"/>
          </w:tcPr>
          <w:p w:rsidR="00343104" w:rsidRPr="00343104" w:rsidRDefault="00343104" w:rsidP="00343104">
            <w:pPr>
              <w:spacing w:after="200" w:line="276" w:lineRule="auto"/>
              <w:rPr>
                <w:rFonts w:ascii="AvantGarde Bk BT" w:hAnsi="AvantGarde Bk BT" w:cs="Arial"/>
                <w:b/>
                <w:i/>
                <w:sz w:val="22"/>
                <w:szCs w:val="22"/>
                <w:lang w:val="es-ES_tradnl"/>
              </w:rPr>
            </w:pPr>
            <w:r w:rsidRPr="00343104">
              <w:rPr>
                <w:rFonts w:ascii="AvantGarde Bk BT" w:hAnsi="AvantGarde Bk BT" w:cs="Arial"/>
                <w:b/>
                <w:i/>
                <w:sz w:val="22"/>
                <w:szCs w:val="22"/>
                <w:lang w:val="es-ES_tradnl"/>
              </w:rPr>
              <w:t>CRÉDITOS</w:t>
            </w:r>
          </w:p>
        </w:tc>
      </w:tr>
      <w:tr w:rsidR="00343104" w:rsidRPr="00343104" w:rsidTr="00C13584">
        <w:trPr>
          <w:trHeight w:val="807"/>
          <w:jc w:val="center"/>
        </w:trPr>
        <w:tc>
          <w:tcPr>
            <w:tcW w:w="4106" w:type="dxa"/>
            <w:vAlign w:val="center"/>
          </w:tcPr>
          <w:p w:rsidR="00343104" w:rsidRPr="00343104" w:rsidRDefault="00343104" w:rsidP="00C13584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  <w:lang w:val="es-ES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  <w:lang w:val="es-ES"/>
              </w:rPr>
              <w:t>Administración de los procesos culturales</w:t>
            </w:r>
          </w:p>
        </w:tc>
        <w:tc>
          <w:tcPr>
            <w:tcW w:w="851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C</w:t>
            </w:r>
          </w:p>
        </w:tc>
        <w:tc>
          <w:tcPr>
            <w:tcW w:w="992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64</w:t>
            </w:r>
          </w:p>
        </w:tc>
        <w:tc>
          <w:tcPr>
            <w:tcW w:w="1291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4</w:t>
            </w:r>
          </w:p>
        </w:tc>
      </w:tr>
      <w:tr w:rsidR="00343104" w:rsidRPr="00343104" w:rsidTr="00C13584">
        <w:trPr>
          <w:trHeight w:val="807"/>
          <w:jc w:val="center"/>
        </w:trPr>
        <w:tc>
          <w:tcPr>
            <w:tcW w:w="4106" w:type="dxa"/>
            <w:vAlign w:val="center"/>
          </w:tcPr>
          <w:p w:rsidR="00343104" w:rsidRPr="00291C87" w:rsidRDefault="00AB2EE4" w:rsidP="00AB2EE4">
            <w:pPr>
              <w:spacing w:after="200" w:line="276" w:lineRule="auto"/>
              <w:jc w:val="center"/>
              <w:rPr>
                <w:rFonts w:ascii="AvantGarde Bk BT" w:hAnsi="AvantGarde Bk BT" w:cs="Arial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AvantGarde Bk BT" w:hAnsi="AvantGarde Bk BT" w:cs="Arial"/>
                <w:b/>
                <w:i/>
                <w:sz w:val="22"/>
                <w:szCs w:val="22"/>
                <w:lang w:val="es-ES"/>
              </w:rPr>
              <w:t>Sostenibilidad y Desarrollo Cu</w:t>
            </w:r>
            <w:r w:rsidR="00291C87" w:rsidRPr="00291C87">
              <w:rPr>
                <w:rFonts w:ascii="AvantGarde Bk BT" w:hAnsi="AvantGarde Bk BT" w:cs="Arial"/>
                <w:b/>
                <w:i/>
                <w:sz w:val="22"/>
                <w:szCs w:val="22"/>
                <w:lang w:val="es-ES"/>
              </w:rPr>
              <w:t>ltural</w:t>
            </w:r>
          </w:p>
        </w:tc>
        <w:tc>
          <w:tcPr>
            <w:tcW w:w="851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C</w:t>
            </w:r>
          </w:p>
        </w:tc>
        <w:tc>
          <w:tcPr>
            <w:tcW w:w="992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64</w:t>
            </w:r>
          </w:p>
        </w:tc>
        <w:tc>
          <w:tcPr>
            <w:tcW w:w="1291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4</w:t>
            </w:r>
          </w:p>
        </w:tc>
      </w:tr>
      <w:tr w:rsidR="00343104" w:rsidRPr="00343104" w:rsidTr="00C13584">
        <w:trPr>
          <w:trHeight w:val="807"/>
          <w:jc w:val="center"/>
        </w:trPr>
        <w:tc>
          <w:tcPr>
            <w:tcW w:w="4106" w:type="dxa"/>
            <w:vAlign w:val="center"/>
          </w:tcPr>
          <w:p w:rsidR="00343104" w:rsidRPr="00343104" w:rsidRDefault="00343104" w:rsidP="00C13584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  <w:lang w:val="es-ES_tradnl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Movimientos socio-culturales y educación multicultural</w:t>
            </w:r>
          </w:p>
        </w:tc>
        <w:tc>
          <w:tcPr>
            <w:tcW w:w="851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C</w:t>
            </w:r>
          </w:p>
        </w:tc>
        <w:tc>
          <w:tcPr>
            <w:tcW w:w="992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64</w:t>
            </w:r>
          </w:p>
        </w:tc>
        <w:tc>
          <w:tcPr>
            <w:tcW w:w="1291" w:type="dxa"/>
            <w:vAlign w:val="center"/>
          </w:tcPr>
          <w:p w:rsidR="00343104" w:rsidRPr="00343104" w:rsidRDefault="00343104" w:rsidP="00291C87">
            <w:pPr>
              <w:spacing w:after="200" w:line="276" w:lineRule="auto"/>
              <w:jc w:val="center"/>
              <w:rPr>
                <w:rFonts w:ascii="AvantGarde Bk BT" w:hAnsi="AvantGarde Bk BT" w:cs="Arial"/>
                <w:i/>
                <w:sz w:val="22"/>
                <w:szCs w:val="22"/>
              </w:rPr>
            </w:pPr>
            <w:r w:rsidRPr="00343104">
              <w:rPr>
                <w:rFonts w:ascii="AvantGarde Bk BT" w:hAnsi="AvantGarde Bk BT" w:cs="Arial"/>
                <w:i/>
                <w:sz w:val="22"/>
                <w:szCs w:val="22"/>
              </w:rPr>
              <w:t>4</w:t>
            </w:r>
          </w:p>
        </w:tc>
      </w:tr>
    </w:tbl>
    <w:p w:rsidR="00343104" w:rsidRDefault="00291C87">
      <w:pPr>
        <w:spacing w:after="200" w:line="276" w:lineRule="auto"/>
        <w:rPr>
          <w:rFonts w:ascii="AvantGarde Bk BT" w:hAnsi="AvantGarde Bk BT" w:cs="Arial"/>
          <w:i/>
          <w:sz w:val="22"/>
          <w:szCs w:val="22"/>
          <w:lang w:val="es-ES"/>
        </w:rPr>
      </w:pPr>
      <w:r w:rsidRPr="00F31151">
        <w:rPr>
          <w:rFonts w:ascii="AvantGarde Bk BT" w:hAnsi="AvantGarde Bk BT" w:cs="Arial"/>
          <w:i/>
          <w:sz w:val="22"/>
          <w:szCs w:val="22"/>
        </w:rPr>
        <w:t>[…]”</w:t>
      </w:r>
    </w:p>
    <w:p w:rsidR="00F4167A" w:rsidRDefault="00F4167A">
      <w:pPr>
        <w:spacing w:after="200" w:line="276" w:lineRule="auto"/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b/>
          <w:sz w:val="22"/>
          <w:szCs w:val="22"/>
          <w:lang w:val="es-ES_tradnl"/>
        </w:rPr>
        <w:br w:type="page"/>
      </w:r>
    </w:p>
    <w:p w:rsidR="0032460C" w:rsidRPr="0032460C" w:rsidRDefault="000C08B6" w:rsidP="00400E27">
      <w:pPr>
        <w:tabs>
          <w:tab w:val="left" w:pos="-720"/>
        </w:tabs>
        <w:suppressAutoHyphens/>
        <w:jc w:val="both"/>
        <w:rPr>
          <w:rFonts w:ascii="AvantGarde Bk BT" w:hAnsi="AvantGarde Bk BT"/>
          <w:b/>
          <w:bCs/>
          <w:sz w:val="22"/>
          <w:szCs w:val="22"/>
        </w:rPr>
      </w:pPr>
      <w:r>
        <w:rPr>
          <w:rFonts w:ascii="AvantGarde Bk BT" w:hAnsi="AvantGarde Bk BT"/>
          <w:b/>
          <w:sz w:val="22"/>
          <w:szCs w:val="22"/>
          <w:lang w:val="es-ES_tradnl"/>
        </w:rPr>
        <w:lastRenderedPageBreak/>
        <w:t>SEGUNDO</w:t>
      </w:r>
      <w:r w:rsidR="003C65D5" w:rsidRPr="003C65D5">
        <w:rPr>
          <w:rFonts w:ascii="AvantGarde Bk BT" w:hAnsi="AvantGarde Bk BT"/>
          <w:b/>
          <w:sz w:val="22"/>
          <w:szCs w:val="22"/>
          <w:lang w:val="es-ES_tradnl"/>
        </w:rPr>
        <w:t>.</w:t>
      </w:r>
      <w:r w:rsidR="003C65D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400E27" w:rsidRPr="00400E27">
        <w:rPr>
          <w:rFonts w:ascii="AvantGarde Bk BT" w:hAnsi="AvantGarde Bk BT"/>
          <w:sz w:val="22"/>
          <w:szCs w:val="22"/>
          <w:lang w:val="es-ES_tradnl"/>
        </w:rPr>
        <w:t xml:space="preserve">De conformidad a lo dispuesto en el último párrafo del artículo 35 de la Ley Orgánica, </w:t>
      </w:r>
      <w:r w:rsidR="00C13584" w:rsidRPr="003822F7">
        <w:rPr>
          <w:rFonts w:ascii="AvantGarde Bk BT" w:hAnsi="AvantGarde Bk BT"/>
          <w:sz w:val="22"/>
          <w:szCs w:val="22"/>
          <w:lang w:val="es-ES_tradnl"/>
        </w:rPr>
        <w:t>y en virtud de</w:t>
      </w:r>
      <w:r w:rsidR="003822F7" w:rsidRPr="003822F7">
        <w:rPr>
          <w:rFonts w:ascii="AvantGarde Bk BT" w:hAnsi="AvantGarde Bk BT"/>
          <w:sz w:val="22"/>
          <w:szCs w:val="22"/>
          <w:lang w:val="es-ES_tradnl"/>
        </w:rPr>
        <w:t xml:space="preserve"> que el programa es retroactivo al inicio de</w:t>
      </w:r>
      <w:r w:rsidR="003822F7">
        <w:rPr>
          <w:rFonts w:ascii="AvantGarde Bk BT" w:hAnsi="AvantGarde Bk BT"/>
          <w:sz w:val="22"/>
          <w:szCs w:val="22"/>
          <w:lang w:val="es-ES_tradnl"/>
        </w:rPr>
        <w:t xml:space="preserve"> la generación, </w:t>
      </w:r>
      <w:r w:rsidR="00400E27" w:rsidRPr="00400E27">
        <w:rPr>
          <w:rFonts w:ascii="AvantGarde Bk BT" w:hAnsi="AvantGarde Bk BT"/>
          <w:sz w:val="22"/>
          <w:szCs w:val="22"/>
          <w:lang w:val="es-ES_tradnl"/>
        </w:rPr>
        <w:t>solicítese al C. Rector General resuelva provisionalmente la presente propuesta, en tanto la misma es aprobada por el pleno del H. Consejo General Universitario.</w:t>
      </w:r>
    </w:p>
    <w:p w:rsidR="00F4167A" w:rsidRDefault="00F4167A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:rsid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"PIENSA Y TRABAJA"</w:t>
      </w:r>
    </w:p>
    <w:p w:rsidR="00BF279E" w:rsidRPr="00BF279E" w:rsidRDefault="00BF279E" w:rsidP="0032460C">
      <w:pPr>
        <w:jc w:val="center"/>
        <w:rPr>
          <w:rFonts w:ascii="AvantGarde Bk BT" w:hAnsi="AvantGarde Bk BT" w:cs="Arial"/>
          <w:i/>
          <w:sz w:val="22"/>
          <w:szCs w:val="22"/>
        </w:rPr>
      </w:pPr>
      <w:r w:rsidRPr="00BF279E">
        <w:rPr>
          <w:rFonts w:ascii="AvantGarde Bk BT" w:hAnsi="AvantGarde Bk BT" w:cs="Arial"/>
          <w:i/>
          <w:sz w:val="22"/>
          <w:szCs w:val="22"/>
        </w:rPr>
        <w:t>“Año del Centenario de la Escuela Preparatoria de Jalisco”</w:t>
      </w:r>
    </w:p>
    <w:p w:rsidR="0032460C" w:rsidRPr="0032460C" w:rsidRDefault="00D20A74" w:rsidP="0032460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</w:t>
      </w:r>
      <w:r w:rsidR="00FB58DB" w:rsidRPr="008D2525">
        <w:rPr>
          <w:rFonts w:ascii="AvantGarde Bk BT" w:hAnsi="AvantGarde Bk BT" w:cs="Arial"/>
          <w:sz w:val="22"/>
          <w:szCs w:val="22"/>
        </w:rPr>
        <w:t>.,</w:t>
      </w:r>
      <w:r w:rsidR="0032460C" w:rsidRPr="008D2525">
        <w:rPr>
          <w:rFonts w:ascii="AvantGarde Bk BT" w:hAnsi="AvantGarde Bk BT" w:cs="Arial"/>
          <w:sz w:val="22"/>
          <w:szCs w:val="22"/>
        </w:rPr>
        <w:t xml:space="preserve"> </w:t>
      </w:r>
      <w:r w:rsidR="00FA5C9A">
        <w:rPr>
          <w:rFonts w:ascii="AvantGarde Bk BT" w:hAnsi="AvantGarde Bk BT" w:cs="Arial"/>
          <w:sz w:val="22"/>
          <w:szCs w:val="22"/>
        </w:rPr>
        <w:t>25</w:t>
      </w:r>
      <w:r w:rsidR="00291C87" w:rsidRPr="008D2525">
        <w:rPr>
          <w:rFonts w:ascii="AvantGarde Bk BT" w:hAnsi="AvantGarde Bk BT" w:cs="Arial"/>
          <w:sz w:val="22"/>
          <w:szCs w:val="22"/>
        </w:rPr>
        <w:t xml:space="preserve"> de julio</w:t>
      </w:r>
      <w:r w:rsidR="00291C87">
        <w:rPr>
          <w:rFonts w:ascii="AvantGarde Bk BT" w:hAnsi="AvantGarde Bk BT" w:cs="Arial"/>
          <w:sz w:val="22"/>
          <w:szCs w:val="22"/>
        </w:rPr>
        <w:t xml:space="preserve"> de 2014</w:t>
      </w: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Comisiones Permanentes Conjuntas de Educación y de Hacienda</w:t>
      </w:r>
    </w:p>
    <w:p w:rsidR="00FB58DB" w:rsidRDefault="00FB58DB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F4167A" w:rsidRDefault="00F4167A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F4167A" w:rsidRPr="0032460C" w:rsidRDefault="00F4167A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Itzcóatl Tonatiuh Bravo Padilla</w:t>
      </w:r>
    </w:p>
    <w:p w:rsidR="0032460C" w:rsidRP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Ind w:w="-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009"/>
      </w:tblGrid>
      <w:tr w:rsidR="00542EBD" w:rsidRPr="0032460C" w:rsidTr="00C13584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7154FA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Sol</w:t>
            </w:r>
            <w:r w:rsidR="007154FA">
              <w:rPr>
                <w:rFonts w:ascii="AvantGarde Bk BT" w:hAnsi="AvantGarde Bk BT"/>
                <w:sz w:val="22"/>
                <w:szCs w:val="22"/>
              </w:rPr>
              <w:t>í</w:t>
            </w:r>
            <w:r>
              <w:rPr>
                <w:rFonts w:ascii="AvantGarde Bk BT" w:hAnsi="AvantGarde Bk BT"/>
                <w:sz w:val="22"/>
                <w:szCs w:val="22"/>
              </w:rPr>
              <w:t>s Gadea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411" w:rsidRDefault="001C6411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Mtro. Javier Espinoza de los Monteros Cárdenas</w:t>
            </w:r>
          </w:p>
        </w:tc>
      </w:tr>
      <w:tr w:rsidR="00542EBD" w:rsidRPr="00542EBD" w:rsidTr="00C13584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P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</w:t>
            </w:r>
            <w:r w:rsidR="007154FA">
              <w:rPr>
                <w:rFonts w:ascii="AvantGarde Bk BT" w:hAnsi="AvantGarde Bk BT"/>
                <w:sz w:val="22"/>
                <w:szCs w:val="22"/>
              </w:rPr>
              <w:t>. José Alberto Castellanos Gutié</w:t>
            </w:r>
            <w:r w:rsidRPr="0032460C">
              <w:rPr>
                <w:rFonts w:ascii="AvantGarde Bk BT" w:hAnsi="AvantGarde Bk BT"/>
                <w:sz w:val="22"/>
                <w:szCs w:val="22"/>
              </w:rPr>
              <w:t>rrez</w:t>
            </w:r>
          </w:p>
        </w:tc>
      </w:tr>
      <w:tr w:rsidR="00542EBD" w:rsidRPr="0032460C" w:rsidTr="00C13584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Dr. Martín Vargas Magaña</w:t>
            </w:r>
          </w:p>
        </w:tc>
      </w:tr>
      <w:tr w:rsidR="00542EBD" w:rsidRPr="0032460C" w:rsidTr="00C13584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Dejanira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Zirahuen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 xml:space="preserve"> Romero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Lupercio</w:t>
            </w:r>
            <w:proofErr w:type="spellEnd"/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F4167A" w:rsidRDefault="00F4167A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Pr="0032460C" w:rsidRDefault="009E4CD8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C. </w:t>
            </w:r>
            <w:r w:rsidR="007154FA">
              <w:rPr>
                <w:rFonts w:ascii="AvantGarde Bk BT" w:hAnsi="AvantGarde Bk BT"/>
              </w:rPr>
              <w:t>José</w:t>
            </w:r>
            <w:r w:rsidR="00910A36">
              <w:rPr>
                <w:rFonts w:ascii="AvantGarde Bk BT" w:hAnsi="AvantGarde Bk BT"/>
              </w:rPr>
              <w:t xml:space="preserve"> Alberto Galarza Villaseñor</w:t>
            </w:r>
          </w:p>
        </w:tc>
      </w:tr>
    </w:tbl>
    <w:p w:rsid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:rsidR="00F4167A" w:rsidRDefault="00F4167A" w:rsidP="0032460C">
      <w:pPr>
        <w:jc w:val="center"/>
        <w:rPr>
          <w:rFonts w:ascii="AvantGarde Bk BT" w:hAnsi="AvantGarde Bk BT"/>
          <w:sz w:val="22"/>
          <w:szCs w:val="22"/>
        </w:rPr>
      </w:pPr>
    </w:p>
    <w:p w:rsidR="00F4167A" w:rsidRPr="0032460C" w:rsidRDefault="00F4167A" w:rsidP="0032460C">
      <w:pPr>
        <w:jc w:val="center"/>
        <w:rPr>
          <w:rFonts w:ascii="AvantGarde Bk BT" w:hAnsi="AvantGarde Bk BT"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A63B38" w:rsidRPr="0032460C" w:rsidRDefault="0032460C" w:rsidP="00542EBD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32460C" w:rsidSect="00F4167A">
      <w:headerReference w:type="default" r:id="rId9"/>
      <w:footerReference w:type="default" r:id="rId10"/>
      <w:pgSz w:w="12240" w:h="15840" w:code="1"/>
      <w:pgMar w:top="2410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90" w:rsidRDefault="00672B90" w:rsidP="00C85DA2">
      <w:r>
        <w:separator/>
      </w:r>
    </w:p>
  </w:endnote>
  <w:endnote w:type="continuationSeparator" w:id="0">
    <w:p w:rsidR="00672B90" w:rsidRDefault="00672B90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4F0861" w:rsidRPr="00DC51E6" w:rsidRDefault="004F0861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D344F0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D344F0">
              <w:rPr>
                <w:rFonts w:ascii="AvantGarde Bk BT" w:hAnsi="AvantGarde Bk BT"/>
                <w:b/>
                <w:noProof/>
                <w:sz w:val="14"/>
                <w:szCs w:val="14"/>
              </w:rPr>
              <w:t>5</w:t>
            </w:r>
            <w:r w:rsidR="00A06CD9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4F0861" w:rsidRDefault="004F0861" w:rsidP="00DC51E6">
    <w:pPr>
      <w:pStyle w:val="Piedepgina"/>
      <w:spacing w:line="276" w:lineRule="auto"/>
      <w:jc w:val="center"/>
      <w:rPr>
        <w:sz w:val="17"/>
        <w:szCs w:val="17"/>
      </w:rPr>
    </w:pPr>
  </w:p>
  <w:p w:rsidR="004F0861" w:rsidRPr="00C85DA2" w:rsidRDefault="004F0861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4F0861" w:rsidRPr="00C85DA2" w:rsidRDefault="004F0861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4F0861" w:rsidRPr="00C85DA2" w:rsidRDefault="004F0861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4F0861" w:rsidRPr="00DC51E6" w:rsidRDefault="004F0861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90" w:rsidRDefault="00672B90" w:rsidP="00C85DA2">
      <w:r>
        <w:separator/>
      </w:r>
    </w:p>
  </w:footnote>
  <w:footnote w:type="continuationSeparator" w:id="0">
    <w:p w:rsidR="00672B90" w:rsidRDefault="00672B90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61" w:rsidRDefault="004F0861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97A9C5D" wp14:editId="0FCD6957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861" w:rsidRDefault="004F0861" w:rsidP="007B1178">
    <w:pPr>
      <w:pStyle w:val="Encabezado"/>
      <w:jc w:val="right"/>
      <w:rPr>
        <w:noProof/>
        <w:lang w:val="es-ES" w:eastAsia="es-MX"/>
      </w:rPr>
    </w:pPr>
  </w:p>
  <w:p w:rsidR="004F0861" w:rsidRDefault="004F0861" w:rsidP="007B1178">
    <w:pPr>
      <w:pStyle w:val="Encabezado"/>
      <w:jc w:val="right"/>
      <w:rPr>
        <w:noProof/>
        <w:lang w:val="es-ES" w:eastAsia="es-MX"/>
      </w:rPr>
    </w:pPr>
  </w:p>
  <w:p w:rsidR="004F0861" w:rsidRDefault="004F0861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4F0861" w:rsidRPr="007B1178" w:rsidRDefault="004F0861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4F0861" w:rsidRPr="007B1178" w:rsidRDefault="00A263A2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I/2014/154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0045C9"/>
    <w:multiLevelType w:val="hybridMultilevel"/>
    <w:tmpl w:val="4C84D0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7619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1A8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0EA"/>
    <w:multiLevelType w:val="hybridMultilevel"/>
    <w:tmpl w:val="AAAC0A3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B49CB"/>
    <w:multiLevelType w:val="hybridMultilevel"/>
    <w:tmpl w:val="5D58600C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804286"/>
    <w:multiLevelType w:val="hybridMultilevel"/>
    <w:tmpl w:val="DCECD5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9">
    <w:nsid w:val="5BC13BD4"/>
    <w:multiLevelType w:val="hybridMultilevel"/>
    <w:tmpl w:val="F1F28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22ECF"/>
    <w:multiLevelType w:val="hybridMultilevel"/>
    <w:tmpl w:val="EE665C0A"/>
    <w:lvl w:ilvl="0" w:tplc="E53CD9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52475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49E4"/>
    <w:multiLevelType w:val="hybridMultilevel"/>
    <w:tmpl w:val="ABC063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D719A"/>
    <w:multiLevelType w:val="hybridMultilevel"/>
    <w:tmpl w:val="27704C9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C1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140EC"/>
    <w:rsid w:val="00045F90"/>
    <w:rsid w:val="000462A0"/>
    <w:rsid w:val="000468EB"/>
    <w:rsid w:val="00050408"/>
    <w:rsid w:val="000650C7"/>
    <w:rsid w:val="00065677"/>
    <w:rsid w:val="0008688E"/>
    <w:rsid w:val="000871EB"/>
    <w:rsid w:val="00092FEE"/>
    <w:rsid w:val="000C08B6"/>
    <w:rsid w:val="000D1636"/>
    <w:rsid w:val="000E2AE1"/>
    <w:rsid w:val="00113926"/>
    <w:rsid w:val="00122B64"/>
    <w:rsid w:val="00125FF0"/>
    <w:rsid w:val="00145CD4"/>
    <w:rsid w:val="001571AB"/>
    <w:rsid w:val="00157AF7"/>
    <w:rsid w:val="001807DE"/>
    <w:rsid w:val="00183FDE"/>
    <w:rsid w:val="00191B5C"/>
    <w:rsid w:val="001B18A8"/>
    <w:rsid w:val="001B2001"/>
    <w:rsid w:val="001C2FD9"/>
    <w:rsid w:val="001C3A29"/>
    <w:rsid w:val="001C6411"/>
    <w:rsid w:val="001D189D"/>
    <w:rsid w:val="001D1D37"/>
    <w:rsid w:val="001D1D55"/>
    <w:rsid w:val="001E01A6"/>
    <w:rsid w:val="001F7585"/>
    <w:rsid w:val="00211BCD"/>
    <w:rsid w:val="0021755B"/>
    <w:rsid w:val="002355D6"/>
    <w:rsid w:val="0023605C"/>
    <w:rsid w:val="00245C59"/>
    <w:rsid w:val="00261C45"/>
    <w:rsid w:val="002646C9"/>
    <w:rsid w:val="0026596F"/>
    <w:rsid w:val="00291C87"/>
    <w:rsid w:val="00292087"/>
    <w:rsid w:val="0029257C"/>
    <w:rsid w:val="002A2505"/>
    <w:rsid w:val="002B5B58"/>
    <w:rsid w:val="002B63A2"/>
    <w:rsid w:val="002C65D8"/>
    <w:rsid w:val="002E1579"/>
    <w:rsid w:val="002E2047"/>
    <w:rsid w:val="002E655C"/>
    <w:rsid w:val="002E7356"/>
    <w:rsid w:val="00301B13"/>
    <w:rsid w:val="003065D5"/>
    <w:rsid w:val="00312F83"/>
    <w:rsid w:val="003148DA"/>
    <w:rsid w:val="0032460C"/>
    <w:rsid w:val="00343104"/>
    <w:rsid w:val="00344A89"/>
    <w:rsid w:val="003519CF"/>
    <w:rsid w:val="0036492C"/>
    <w:rsid w:val="003710FD"/>
    <w:rsid w:val="00372021"/>
    <w:rsid w:val="003822F7"/>
    <w:rsid w:val="0038431C"/>
    <w:rsid w:val="0039397C"/>
    <w:rsid w:val="003A151C"/>
    <w:rsid w:val="003B3720"/>
    <w:rsid w:val="003B479D"/>
    <w:rsid w:val="003C65D5"/>
    <w:rsid w:val="003D29F2"/>
    <w:rsid w:val="003E339E"/>
    <w:rsid w:val="003F4497"/>
    <w:rsid w:val="00400C99"/>
    <w:rsid w:val="00400E27"/>
    <w:rsid w:val="00407D2A"/>
    <w:rsid w:val="00407F11"/>
    <w:rsid w:val="004271BD"/>
    <w:rsid w:val="00431060"/>
    <w:rsid w:val="004325F8"/>
    <w:rsid w:val="004454DE"/>
    <w:rsid w:val="00455A31"/>
    <w:rsid w:val="00456240"/>
    <w:rsid w:val="00467F49"/>
    <w:rsid w:val="00473882"/>
    <w:rsid w:val="00487E06"/>
    <w:rsid w:val="004953CB"/>
    <w:rsid w:val="004B03E4"/>
    <w:rsid w:val="004C7584"/>
    <w:rsid w:val="004D347C"/>
    <w:rsid w:val="004D4C97"/>
    <w:rsid w:val="004E00E1"/>
    <w:rsid w:val="004E3964"/>
    <w:rsid w:val="004E3E44"/>
    <w:rsid w:val="004E5BC3"/>
    <w:rsid w:val="004E670C"/>
    <w:rsid w:val="004F0861"/>
    <w:rsid w:val="004F608C"/>
    <w:rsid w:val="005121D0"/>
    <w:rsid w:val="00530499"/>
    <w:rsid w:val="00531EC9"/>
    <w:rsid w:val="00542EBD"/>
    <w:rsid w:val="00544C48"/>
    <w:rsid w:val="0055283C"/>
    <w:rsid w:val="00557FAC"/>
    <w:rsid w:val="00562724"/>
    <w:rsid w:val="00563360"/>
    <w:rsid w:val="00584266"/>
    <w:rsid w:val="005861B1"/>
    <w:rsid w:val="00593B13"/>
    <w:rsid w:val="005966E2"/>
    <w:rsid w:val="005B4581"/>
    <w:rsid w:val="005C63F1"/>
    <w:rsid w:val="005D15B4"/>
    <w:rsid w:val="005D6DD5"/>
    <w:rsid w:val="005E1326"/>
    <w:rsid w:val="005E4059"/>
    <w:rsid w:val="005E676F"/>
    <w:rsid w:val="00610295"/>
    <w:rsid w:val="006220B9"/>
    <w:rsid w:val="006312A8"/>
    <w:rsid w:val="00641353"/>
    <w:rsid w:val="0064700C"/>
    <w:rsid w:val="00652490"/>
    <w:rsid w:val="00667E5B"/>
    <w:rsid w:val="00672B90"/>
    <w:rsid w:val="00686EDC"/>
    <w:rsid w:val="00687797"/>
    <w:rsid w:val="00696A5D"/>
    <w:rsid w:val="006A462F"/>
    <w:rsid w:val="006B0AAE"/>
    <w:rsid w:val="006B0B0B"/>
    <w:rsid w:val="006B7D02"/>
    <w:rsid w:val="006E05BA"/>
    <w:rsid w:val="006E5676"/>
    <w:rsid w:val="006E64C5"/>
    <w:rsid w:val="006F4801"/>
    <w:rsid w:val="006F4E5D"/>
    <w:rsid w:val="006F5930"/>
    <w:rsid w:val="0070269B"/>
    <w:rsid w:val="007154FA"/>
    <w:rsid w:val="00724D8A"/>
    <w:rsid w:val="007268D2"/>
    <w:rsid w:val="00733794"/>
    <w:rsid w:val="00741F20"/>
    <w:rsid w:val="0074321F"/>
    <w:rsid w:val="00745677"/>
    <w:rsid w:val="007603E2"/>
    <w:rsid w:val="0077262D"/>
    <w:rsid w:val="00775C66"/>
    <w:rsid w:val="00780FE8"/>
    <w:rsid w:val="00785B9C"/>
    <w:rsid w:val="00793E3A"/>
    <w:rsid w:val="00794AD3"/>
    <w:rsid w:val="007B1178"/>
    <w:rsid w:val="007B1CC4"/>
    <w:rsid w:val="007B4C0B"/>
    <w:rsid w:val="007B6C0F"/>
    <w:rsid w:val="007C4758"/>
    <w:rsid w:val="007E3C8D"/>
    <w:rsid w:val="007E4600"/>
    <w:rsid w:val="007E637A"/>
    <w:rsid w:val="008030BB"/>
    <w:rsid w:val="00823E2C"/>
    <w:rsid w:val="00830798"/>
    <w:rsid w:val="00830A38"/>
    <w:rsid w:val="00841ECF"/>
    <w:rsid w:val="00854E68"/>
    <w:rsid w:val="00857CBB"/>
    <w:rsid w:val="008732F5"/>
    <w:rsid w:val="0087438E"/>
    <w:rsid w:val="008945A4"/>
    <w:rsid w:val="00897B0F"/>
    <w:rsid w:val="008A7CD3"/>
    <w:rsid w:val="008C4BFA"/>
    <w:rsid w:val="008D1CD3"/>
    <w:rsid w:val="008D2525"/>
    <w:rsid w:val="008D5077"/>
    <w:rsid w:val="008D6A9B"/>
    <w:rsid w:val="008D6C8E"/>
    <w:rsid w:val="008F086D"/>
    <w:rsid w:val="00910A36"/>
    <w:rsid w:val="00913B2D"/>
    <w:rsid w:val="00920E48"/>
    <w:rsid w:val="00932DD6"/>
    <w:rsid w:val="00952B50"/>
    <w:rsid w:val="00954A96"/>
    <w:rsid w:val="009632BB"/>
    <w:rsid w:val="00971F16"/>
    <w:rsid w:val="009752D5"/>
    <w:rsid w:val="00982C53"/>
    <w:rsid w:val="00996925"/>
    <w:rsid w:val="009A6AD9"/>
    <w:rsid w:val="009B4C47"/>
    <w:rsid w:val="009B59B3"/>
    <w:rsid w:val="009B6D92"/>
    <w:rsid w:val="009C1A63"/>
    <w:rsid w:val="009C33EA"/>
    <w:rsid w:val="009C66E4"/>
    <w:rsid w:val="009E4CD8"/>
    <w:rsid w:val="009F254A"/>
    <w:rsid w:val="009F2CB6"/>
    <w:rsid w:val="009F5B1D"/>
    <w:rsid w:val="00A05C8C"/>
    <w:rsid w:val="00A06CD9"/>
    <w:rsid w:val="00A20D1E"/>
    <w:rsid w:val="00A263A2"/>
    <w:rsid w:val="00A538C1"/>
    <w:rsid w:val="00A57E0D"/>
    <w:rsid w:val="00A63B38"/>
    <w:rsid w:val="00A6426B"/>
    <w:rsid w:val="00A9572A"/>
    <w:rsid w:val="00AA0435"/>
    <w:rsid w:val="00AA261E"/>
    <w:rsid w:val="00AA267F"/>
    <w:rsid w:val="00AA5FEF"/>
    <w:rsid w:val="00AB2EE4"/>
    <w:rsid w:val="00AC00A3"/>
    <w:rsid w:val="00AC528A"/>
    <w:rsid w:val="00AD392D"/>
    <w:rsid w:val="00AD5CB6"/>
    <w:rsid w:val="00AE0DAC"/>
    <w:rsid w:val="00AF17EC"/>
    <w:rsid w:val="00AF55B2"/>
    <w:rsid w:val="00B17B43"/>
    <w:rsid w:val="00B2109C"/>
    <w:rsid w:val="00B51330"/>
    <w:rsid w:val="00B6300F"/>
    <w:rsid w:val="00B66080"/>
    <w:rsid w:val="00B67369"/>
    <w:rsid w:val="00B72E87"/>
    <w:rsid w:val="00B77FFA"/>
    <w:rsid w:val="00B80BB1"/>
    <w:rsid w:val="00B80CB9"/>
    <w:rsid w:val="00B967F5"/>
    <w:rsid w:val="00BB0833"/>
    <w:rsid w:val="00BB2DC3"/>
    <w:rsid w:val="00BD37F4"/>
    <w:rsid w:val="00BF279E"/>
    <w:rsid w:val="00C06235"/>
    <w:rsid w:val="00C13584"/>
    <w:rsid w:val="00C210AF"/>
    <w:rsid w:val="00C607DF"/>
    <w:rsid w:val="00C66589"/>
    <w:rsid w:val="00C776A1"/>
    <w:rsid w:val="00C827C9"/>
    <w:rsid w:val="00C85DA2"/>
    <w:rsid w:val="00C95A34"/>
    <w:rsid w:val="00C95C9D"/>
    <w:rsid w:val="00CA717F"/>
    <w:rsid w:val="00CC68F5"/>
    <w:rsid w:val="00CD1868"/>
    <w:rsid w:val="00CD30DA"/>
    <w:rsid w:val="00CE2303"/>
    <w:rsid w:val="00D026DD"/>
    <w:rsid w:val="00D12AE6"/>
    <w:rsid w:val="00D15CEA"/>
    <w:rsid w:val="00D207DE"/>
    <w:rsid w:val="00D20A74"/>
    <w:rsid w:val="00D21D62"/>
    <w:rsid w:val="00D308C3"/>
    <w:rsid w:val="00D32E5B"/>
    <w:rsid w:val="00D33254"/>
    <w:rsid w:val="00D344F0"/>
    <w:rsid w:val="00D41B98"/>
    <w:rsid w:val="00D52E60"/>
    <w:rsid w:val="00D560D6"/>
    <w:rsid w:val="00D57426"/>
    <w:rsid w:val="00D67F13"/>
    <w:rsid w:val="00D9219E"/>
    <w:rsid w:val="00D93094"/>
    <w:rsid w:val="00DA2016"/>
    <w:rsid w:val="00DA2114"/>
    <w:rsid w:val="00DA2A99"/>
    <w:rsid w:val="00DB008E"/>
    <w:rsid w:val="00DC51E6"/>
    <w:rsid w:val="00DD6858"/>
    <w:rsid w:val="00DF5AC3"/>
    <w:rsid w:val="00DF6715"/>
    <w:rsid w:val="00E016F1"/>
    <w:rsid w:val="00E053BB"/>
    <w:rsid w:val="00E12B49"/>
    <w:rsid w:val="00E133A0"/>
    <w:rsid w:val="00E15DE1"/>
    <w:rsid w:val="00E175C3"/>
    <w:rsid w:val="00E2479F"/>
    <w:rsid w:val="00E26E8C"/>
    <w:rsid w:val="00E319E3"/>
    <w:rsid w:val="00E56E45"/>
    <w:rsid w:val="00E77745"/>
    <w:rsid w:val="00E81491"/>
    <w:rsid w:val="00EA7968"/>
    <w:rsid w:val="00EB3F93"/>
    <w:rsid w:val="00EE61F5"/>
    <w:rsid w:val="00EF6664"/>
    <w:rsid w:val="00F15BB5"/>
    <w:rsid w:val="00F24B9F"/>
    <w:rsid w:val="00F308D5"/>
    <w:rsid w:val="00F4167A"/>
    <w:rsid w:val="00F44A5D"/>
    <w:rsid w:val="00F51FBB"/>
    <w:rsid w:val="00F5503C"/>
    <w:rsid w:val="00F72587"/>
    <w:rsid w:val="00F80229"/>
    <w:rsid w:val="00FA3DBA"/>
    <w:rsid w:val="00FA5603"/>
    <w:rsid w:val="00FA5C9A"/>
    <w:rsid w:val="00FA6C6B"/>
    <w:rsid w:val="00FA7B7F"/>
    <w:rsid w:val="00FB58DB"/>
    <w:rsid w:val="00FB61FC"/>
    <w:rsid w:val="00FC2BD7"/>
    <w:rsid w:val="00FC3716"/>
    <w:rsid w:val="00FC4E8F"/>
    <w:rsid w:val="00FC636B"/>
    <w:rsid w:val="00FD2D0D"/>
    <w:rsid w:val="00FD6977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DA2114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DA2114"/>
    <w:rPr>
      <w:rFonts w:ascii="Courier New" w:eastAsia="Calibri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DA2114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DA2114"/>
    <w:rPr>
      <w:rFonts w:ascii="Courier New" w:eastAsia="Calibri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0F96-17A1-4446-AE5A-106ABC25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2014-07-25T17:51:00Z</cp:lastPrinted>
  <dcterms:created xsi:type="dcterms:W3CDTF">2014-10-03T22:43:00Z</dcterms:created>
  <dcterms:modified xsi:type="dcterms:W3CDTF">2014-10-03T22:43:00Z</dcterms:modified>
</cp:coreProperties>
</file>