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02" w:rsidRPr="005E2BD5" w:rsidRDefault="00910202" w:rsidP="00910202">
      <w:pPr>
        <w:pStyle w:val="Ttulo1"/>
        <w:jc w:val="both"/>
        <w:rPr>
          <w:rFonts w:ascii="AvantGarde Bk BT" w:hAnsi="AvantGarde Bk BT"/>
          <w:b w:val="0"/>
          <w:sz w:val="22"/>
          <w:szCs w:val="22"/>
          <w:lang w:val="pt-BR"/>
        </w:rPr>
      </w:pPr>
      <w:bookmarkStart w:id="0" w:name="_GoBack"/>
      <w:bookmarkEnd w:id="0"/>
      <w:r w:rsidRPr="005E2BD5">
        <w:rPr>
          <w:rFonts w:ascii="AvantGarde Bk BT" w:hAnsi="AvantGarde Bk BT"/>
          <w:b w:val="0"/>
          <w:sz w:val="22"/>
          <w:szCs w:val="22"/>
          <w:lang w:val="pt-BR"/>
        </w:rPr>
        <w:t>CONSEJO GENERAL UNIVERSITARIO</w:t>
      </w:r>
    </w:p>
    <w:p w:rsidR="00910202" w:rsidRPr="005E2BD5" w:rsidRDefault="00910202" w:rsidP="00910202">
      <w:pPr>
        <w:rPr>
          <w:rFonts w:ascii="AvantGarde Bk BT" w:hAnsi="AvantGarde Bk BT" w:cs="Arial"/>
          <w:sz w:val="22"/>
          <w:szCs w:val="22"/>
          <w:lang w:val="pt-BR"/>
        </w:rPr>
      </w:pPr>
      <w:r w:rsidRPr="005E2BD5">
        <w:rPr>
          <w:rFonts w:ascii="AvantGarde Bk BT" w:hAnsi="AvantGarde Bk BT" w:cs="Arial"/>
          <w:sz w:val="22"/>
          <w:szCs w:val="22"/>
          <w:lang w:val="pt-BR"/>
        </w:rPr>
        <w:t>P R E S E N T E</w:t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  <w:lang w:val="pt-BR"/>
        </w:rPr>
      </w:pP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  <w:lang w:val="pt-BR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A esta Comisión Permanente de Educación ha sido turnado el dictamen número CONS-CUCEI/CE-CH/011/2015, en el que el Centro Universitario de Ciencias Exactas e Ingenierías propone la creación del</w:t>
      </w:r>
      <w:r w:rsidRPr="00910202">
        <w:rPr>
          <w:rFonts w:ascii="AvantGarde Bk BT" w:hAnsi="AvantGarde Bk BT" w:cs="Arial"/>
          <w:b/>
          <w:sz w:val="22"/>
          <w:szCs w:val="22"/>
        </w:rPr>
        <w:t xml:space="preserve"> Laboratorio de Investigación y Desarrollo Farmacéutico</w:t>
      </w:r>
      <w:r w:rsidRPr="00910202">
        <w:rPr>
          <w:rFonts w:ascii="AvantGarde Bk BT" w:hAnsi="AvantGarde Bk BT" w:cs="Arial"/>
          <w:sz w:val="22"/>
          <w:szCs w:val="22"/>
        </w:rPr>
        <w:t>, y,</w:t>
      </w:r>
    </w:p>
    <w:p w:rsidR="00910202" w:rsidRPr="00910202" w:rsidRDefault="00910202" w:rsidP="00910202">
      <w:pPr>
        <w:jc w:val="both"/>
        <w:rPr>
          <w:rFonts w:ascii="AvantGarde Bk BT" w:hAnsi="AvantGarde Bk BT"/>
          <w:sz w:val="22"/>
          <w:szCs w:val="22"/>
        </w:rPr>
      </w:pPr>
    </w:p>
    <w:p w:rsidR="00910202" w:rsidRPr="00910202" w:rsidRDefault="00910202" w:rsidP="00910202">
      <w:pPr>
        <w:jc w:val="center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R e s u l t a n d o:</w:t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  <w:lang w:val="pt-BR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jc w:val="both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El Plan de Desarrollo Institucional 2014-2030 establece en el Eje Temático “Investigación y Posgrado”, en su objetivo 4 “Posicionamiento de la Investigación y el Posgrado”, como ejes del modelo educativo, la estrategia “Definir las prioridades y el rumbo de la investigación y del posgrado en la Institución, con una orientación estratégica y de aprovechamiento de ventajas competitivas regionales e internacionales”.</w:t>
      </w:r>
    </w:p>
    <w:p w:rsidR="00910202" w:rsidRPr="00910202" w:rsidRDefault="00910202" w:rsidP="00910202">
      <w:pPr>
        <w:jc w:val="both"/>
        <w:rPr>
          <w:rFonts w:ascii="AvantGarde Bk BT" w:hAnsi="AvantGarde Bk BT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jc w:val="both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El mismo Plan de Desarrollo Institucional 2014-2030 se establece en el Eje Temático “Vinculación”, en su objetivo 7: “Vinculación como función estratégica que promueva la transferencia de conocimientos y tecnología, la estrategia denominada “Fortalecer la vocación regional de los centros universitarios, con base en sus ventajas competitivas y en las necesidades sociales y económicas de sus regiones, a fin de contribuir a su desarrollo”.</w:t>
      </w:r>
    </w:p>
    <w:p w:rsidR="00910202" w:rsidRPr="00910202" w:rsidRDefault="00910202" w:rsidP="00910202">
      <w:pPr>
        <w:tabs>
          <w:tab w:val="left" w:pos="-720"/>
        </w:tabs>
        <w:contextualSpacing/>
        <w:jc w:val="both"/>
        <w:rPr>
          <w:rFonts w:ascii="AvantGarde Bk BT" w:hAnsi="AvantGarde Bk BT" w:cstheme="minorHAnsi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 w:cstheme="minorHAnsi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 xml:space="preserve">El </w:t>
      </w:r>
      <w:r w:rsidRPr="00910202">
        <w:rPr>
          <w:rFonts w:ascii="AvantGarde Bk BT" w:hAnsi="AvantGarde Bk BT"/>
          <w:sz w:val="22"/>
          <w:szCs w:val="22"/>
        </w:rPr>
        <w:t>Plan de Desarrollo Institucional 2014-2030 establece en el Eje Temático “Docencia y Aprendizaje”, en su objetivo 3: “Consolidación del enfoque pedagógico centrado en el aprendizaje y en la formación integral del estudiante, la estrategia denominada “Consolidar al modelo departamental como el eje del desarrollo académico de la Red Universitaria y fortalecerlo en la toma de decisiones académicas”.</w:t>
      </w:r>
    </w:p>
    <w:p w:rsidR="00910202" w:rsidRPr="00910202" w:rsidRDefault="00910202" w:rsidP="00910202">
      <w:pPr>
        <w:rPr>
          <w:rFonts w:ascii="AvantGarde Bk BT" w:hAnsi="AvantGarde Bk BT" w:cstheme="minorHAnsi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la normatividad Universitaria reconoce como Unidades Académicas integrantes de un Departamento, a los Laboratorios, los cuales tienen por objeto realizar funciones de apoyo a la investigación, docencia o difusión.</w:t>
      </w:r>
    </w:p>
    <w:p w:rsidR="00910202" w:rsidRPr="00910202" w:rsidRDefault="00910202" w:rsidP="00910202">
      <w:pPr>
        <w:rPr>
          <w:rFonts w:ascii="AvantGarde Bk BT" w:hAnsi="AvantGarde Bk BT" w:cstheme="minorHAnsi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 w:cstheme="minorHAnsi"/>
          <w:sz w:val="22"/>
          <w:szCs w:val="22"/>
        </w:rPr>
      </w:pPr>
      <w:r w:rsidRPr="00910202">
        <w:rPr>
          <w:rFonts w:ascii="AvantGarde Bk BT" w:hAnsi="AvantGarde Bk BT" w:cstheme="minorHAnsi"/>
          <w:sz w:val="22"/>
          <w:szCs w:val="22"/>
        </w:rPr>
        <w:t>Que en el objetivo No. 4 del Plan de Desarrollo Institucional de la Universidad de Guadalajara se menciona el posicionamiento de la investigación y el posgrado como ejes del modelo educativo, además en las estrategias se menciona el promover la vinculación entre la investigación, la docencia y la extensión y aumentar la productividad científica estableciendo criterios pertinentes, promoviendo su visibilidad e impacto internacional.</w:t>
      </w:r>
    </w:p>
    <w:p w:rsidR="00910202" w:rsidRPr="00910202" w:rsidRDefault="00910202">
      <w:pPr>
        <w:widowControl/>
        <w:suppressAutoHyphens w:val="0"/>
        <w:spacing w:after="200" w:line="276" w:lineRule="auto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br w:type="page"/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 w:cstheme="minorHAnsi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Que el 8 de octubre del 2015, el Consejo del Centro Universitario de Ciencias Exactas e Ingenierías aprobó el dictamen CONS-CUCEI/CE-CH/011/2015, mediante el cual aprueba la creación del Laboratorio de Investigación y Desarrollo Farmacéutico, adscrito al Departamento de</w:t>
      </w:r>
      <w:r w:rsidRPr="00910202">
        <w:rPr>
          <w:rFonts w:ascii="AvantGarde Bk BT" w:hAnsi="AvantGarde Bk BT"/>
          <w:sz w:val="22"/>
          <w:szCs w:val="22"/>
        </w:rPr>
        <w:t xml:space="preserve">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Farmacobiología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>, de la División de Ciencias Básicas de dicho Centro Universitario.</w:t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  <w:highlight w:val="yellow"/>
        </w:rPr>
      </w:pPr>
    </w:p>
    <w:p w:rsidR="00910202" w:rsidRPr="00910202" w:rsidRDefault="00910202" w:rsidP="00910202">
      <w:pPr>
        <w:pStyle w:val="Textoindependiente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 xml:space="preserve">Que el Laboratorio de Investigación y Desarrollo Farmacéutico, podrá </w:t>
      </w:r>
      <w:r w:rsidRPr="00910202">
        <w:rPr>
          <w:rFonts w:ascii="AvantGarde Bk BT" w:hAnsi="AvantGarde Bk BT" w:cs="Arial"/>
          <w:sz w:val="22"/>
          <w:szCs w:val="22"/>
          <w:lang w:val="es-ES_tradnl"/>
        </w:rPr>
        <w:t xml:space="preserve">apoyar a la industria Químico Farmacéutica, Biomédica y al Sector Salud para promover el desarrollo e investigación en estos sectores, así como la transferencia de tecnología aplicable a mejorar la calidad de sus productos, mediante el apoyo en el diseño, evaluación y aplicación de pruebas que demuestren su desempeño, seguridad y eficacia. </w:t>
      </w:r>
    </w:p>
    <w:p w:rsidR="00910202" w:rsidRPr="00910202" w:rsidRDefault="00910202" w:rsidP="00910202">
      <w:pPr>
        <w:pStyle w:val="Textoindependiente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Textoindependiente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>Que, para incrementar la vinculación, la calidad y relevancia de los servicios externos que realizará con los sectores estratégicos antes mencionados,</w:t>
      </w:r>
      <w:r w:rsidRPr="00910202" w:rsidDel="00372D73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Pr="00910202">
        <w:rPr>
          <w:rFonts w:ascii="AvantGarde Bk BT" w:hAnsi="AvantGarde Bk BT" w:cs="Arial"/>
          <w:sz w:val="22"/>
          <w:szCs w:val="22"/>
          <w:lang w:val="es-MX"/>
        </w:rPr>
        <w:t xml:space="preserve">solicitará el reconocimiento por diversos organismos regulatorios, que garanticen su trabajo bajo los estándares de calidad, que avalen su competencia técnica y la validez de sus resultados, dotándose de credibilidad ante sus clientes, así como para el desarrollo y elaboración de protocolos en las áreas de ciencias del laboratorio, biomédicas y farmacéuticas; desarrollo y validación de métodos analíticos; implementación de modelos </w:t>
      </w:r>
      <w:r w:rsidRPr="00910202">
        <w:rPr>
          <w:rFonts w:ascii="AvantGarde Bk BT" w:hAnsi="AvantGarde Bk BT" w:cs="Arial"/>
          <w:i/>
          <w:sz w:val="22"/>
          <w:szCs w:val="22"/>
          <w:lang w:val="es-MX"/>
        </w:rPr>
        <w:t>in vivo</w:t>
      </w:r>
      <w:r w:rsidRPr="00910202">
        <w:rPr>
          <w:rFonts w:ascii="AvantGarde Bk BT" w:hAnsi="AvantGarde Bk BT" w:cs="Arial"/>
          <w:sz w:val="22"/>
          <w:szCs w:val="22"/>
          <w:lang w:val="es-MX"/>
        </w:rPr>
        <w:t xml:space="preserve"> e </w:t>
      </w:r>
      <w:r w:rsidRPr="00910202">
        <w:rPr>
          <w:rFonts w:ascii="AvantGarde Bk BT" w:hAnsi="AvantGarde Bk BT" w:cs="Arial"/>
          <w:i/>
          <w:sz w:val="22"/>
          <w:szCs w:val="22"/>
          <w:lang w:val="es-MX"/>
        </w:rPr>
        <w:t>in vitro;</w:t>
      </w:r>
      <w:r w:rsidRPr="00910202">
        <w:rPr>
          <w:rFonts w:ascii="AvantGarde Bk BT" w:hAnsi="AvantGarde Bk BT" w:cs="Arial"/>
          <w:sz w:val="22"/>
          <w:szCs w:val="22"/>
          <w:lang w:val="es-MX"/>
        </w:rPr>
        <w:t xml:space="preserve"> análisis y pruebas a dispositivos médicos, en acuerdo a las funciones sustantivas que el Laboratorio de Investigación y Desarrollo Farmacéutico esté en posibilidad de realizar.</w:t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Textoindependiente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>Que el objetivo general del Laboratorio es generar conocimiento científico en las áreas de Ciencias del Laboratorio, Biomédicas y Farmacéuticas. así como, apoyar a los sectores Químico Farmacéutico, y de Salud, principalmente, de la región y del país.</w:t>
      </w:r>
    </w:p>
    <w:p w:rsidR="00910202" w:rsidRPr="00910202" w:rsidRDefault="00910202" w:rsidP="00910202">
      <w:pPr>
        <w:pStyle w:val="Textoindependiente"/>
        <w:rPr>
          <w:rFonts w:ascii="AvantGarde Bk BT" w:hAnsi="AvantGarde Bk BT" w:cs="Arial"/>
          <w:sz w:val="22"/>
          <w:szCs w:val="22"/>
          <w:lang w:val="es-MX"/>
        </w:rPr>
      </w:pPr>
    </w:p>
    <w:p w:rsidR="00910202" w:rsidRPr="00910202" w:rsidRDefault="00910202" w:rsidP="00910202">
      <w:pPr>
        <w:pStyle w:val="Textoindependiente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>Que el Laboratorio de Investigación y Desarrollo Farmacéutico, inicialmente, generará conocimiento en las siguientes líneas de investigación:</w:t>
      </w:r>
    </w:p>
    <w:p w:rsidR="00910202" w:rsidRPr="00910202" w:rsidRDefault="00910202" w:rsidP="00910202">
      <w:pPr>
        <w:pStyle w:val="Textoindependiente"/>
        <w:rPr>
          <w:rFonts w:ascii="AvantGarde Bk BT" w:hAnsi="AvantGarde Bk BT" w:cs="Arial"/>
          <w:sz w:val="22"/>
          <w:szCs w:val="22"/>
          <w:lang w:val="es-MX"/>
        </w:rPr>
      </w:pPr>
    </w:p>
    <w:p w:rsidR="00910202" w:rsidRPr="00910202" w:rsidRDefault="00910202" w:rsidP="00910202">
      <w:pPr>
        <w:pStyle w:val="Textoindependiente"/>
        <w:widowControl/>
        <w:numPr>
          <w:ilvl w:val="0"/>
          <w:numId w:val="17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>Farmacología experimental</w:t>
      </w:r>
      <w:r w:rsidR="002548E3">
        <w:rPr>
          <w:rFonts w:ascii="AvantGarde Bk BT" w:hAnsi="AvantGarde Bk BT" w:cs="Arial"/>
          <w:sz w:val="22"/>
          <w:szCs w:val="22"/>
          <w:lang w:val="es-MX"/>
        </w:rPr>
        <w:t>.</w:t>
      </w:r>
    </w:p>
    <w:p w:rsidR="00910202" w:rsidRPr="00910202" w:rsidRDefault="00910202" w:rsidP="00910202">
      <w:pPr>
        <w:pStyle w:val="Textoindependiente"/>
        <w:widowControl/>
        <w:numPr>
          <w:ilvl w:val="0"/>
          <w:numId w:val="17"/>
        </w:numPr>
        <w:suppressAutoHyphens w:val="0"/>
        <w:spacing w:after="0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sz w:val="22"/>
          <w:szCs w:val="22"/>
          <w:lang w:val="es-MX"/>
        </w:rPr>
        <w:t>Farmacología clínica</w:t>
      </w:r>
      <w:r w:rsidR="002548E3">
        <w:rPr>
          <w:rFonts w:ascii="AvantGarde Bk BT" w:hAnsi="AvantGarde Bk BT" w:cs="Arial"/>
          <w:sz w:val="22"/>
          <w:szCs w:val="22"/>
          <w:lang w:val="es-MX"/>
        </w:rPr>
        <w:t>.</w:t>
      </w:r>
    </w:p>
    <w:p w:rsidR="00910202" w:rsidRDefault="00910202">
      <w:pPr>
        <w:widowControl/>
        <w:suppressAutoHyphens w:val="0"/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5"/>
        </w:numPr>
        <w:tabs>
          <w:tab w:val="num" w:pos="0"/>
        </w:tabs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Que respecto de los requisitos de existencia del Laboratorio de Investigación y Desarrollo Farmacéutico, expuestos en el artículo 16 del Estatuto General, resulta conveniente mencionar que se encuentran acreditados, conforme a lo siguiente: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1"/>
          <w:numId w:val="15"/>
        </w:numPr>
        <w:tabs>
          <w:tab w:val="num" w:pos="1440"/>
        </w:tabs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La plantilla académica con la que inicialmente cuenta el Laboratorio es la siguiente: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tbl>
      <w:tblPr>
        <w:tblStyle w:val="Cuadrculadetablaclara1"/>
        <w:tblW w:w="4495" w:type="pct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3844"/>
        <w:gridCol w:w="3861"/>
      </w:tblGrid>
      <w:tr w:rsidR="00910202" w:rsidRPr="00910202" w:rsidTr="00C014CC">
        <w:trPr>
          <w:trHeight w:val="295"/>
        </w:trPr>
        <w:tc>
          <w:tcPr>
            <w:tcW w:w="545" w:type="pct"/>
            <w:vAlign w:val="bottom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b/>
                <w:sz w:val="22"/>
                <w:szCs w:val="22"/>
              </w:rPr>
              <w:t>Grado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b/>
                <w:sz w:val="22"/>
                <w:szCs w:val="22"/>
              </w:rPr>
              <w:t>Nombre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ind w:left="360"/>
              <w:jc w:val="center"/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b/>
                <w:sz w:val="22"/>
                <w:szCs w:val="22"/>
              </w:rPr>
              <w:t>Nombramiento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Rocío Ivette López Roa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Profesor Investigador Titular A.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Adelaida Sara Minia Zepeda Morales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Profesor Investigador Titular A.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proofErr w:type="spellStart"/>
            <w:r w:rsidRPr="00910202">
              <w:rPr>
                <w:rFonts w:ascii="AvantGarde Bk BT" w:hAnsi="AvantGarde Bk BT" w:cs="Arial"/>
                <w:sz w:val="22"/>
                <w:szCs w:val="22"/>
              </w:rPr>
              <w:t>Nicté</w:t>
            </w:r>
            <w:proofErr w:type="spellEnd"/>
            <w:r w:rsidRPr="00910202">
              <w:rPr>
                <w:rFonts w:ascii="AvantGarde Bk BT" w:hAnsi="AvantGarde Bk BT" w:cs="Arial"/>
                <w:sz w:val="22"/>
                <w:szCs w:val="22"/>
              </w:rPr>
              <w:t xml:space="preserve"> Selene Fajardo Robledo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Profesor Investigador Titular A.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Juan Manuel Viveros Paredes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Profesor Investigador Asociado C.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Mtra.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Esmeralda Marisol Franco Torres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Profesor Docente Asociado B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Mtra.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 xml:space="preserve">Luz Angélica Muñoz </w:t>
            </w:r>
            <w:proofErr w:type="spellStart"/>
            <w:r w:rsidRPr="00910202">
              <w:rPr>
                <w:rFonts w:ascii="AvantGarde Bk BT" w:hAnsi="AvantGarde Bk BT" w:cs="Arial"/>
                <w:sz w:val="22"/>
                <w:szCs w:val="22"/>
              </w:rPr>
              <w:t>Bañales</w:t>
            </w:r>
            <w:proofErr w:type="spellEnd"/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Técnico Académico Asociado A.</w:t>
            </w:r>
          </w:p>
        </w:tc>
      </w:tr>
      <w:tr w:rsidR="00910202" w:rsidRPr="00910202" w:rsidTr="00C014CC">
        <w:trPr>
          <w:trHeight w:val="527"/>
        </w:trPr>
        <w:tc>
          <w:tcPr>
            <w:tcW w:w="545" w:type="pct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Mtra.</w:t>
            </w:r>
          </w:p>
        </w:tc>
        <w:tc>
          <w:tcPr>
            <w:tcW w:w="222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Leticia Hernández Mora</w:t>
            </w:r>
          </w:p>
        </w:tc>
        <w:tc>
          <w:tcPr>
            <w:tcW w:w="2232" w:type="pct"/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Técnico Académico Asociado A.</w:t>
            </w:r>
          </w:p>
        </w:tc>
      </w:tr>
    </w:tbl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1"/>
          <w:numId w:val="15"/>
        </w:num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 xml:space="preserve">Que el Laboratorio apoyará las actividades sustantivas del Departamento de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Farmacobiología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fortaleciendo la formación de estudiantes de licenciatura y posgrado. Se apoyará también el desarrollo de la investigación en las áreas de Ciencias Farmacéuticas y Biomédicas, Ciencias del Laboratorio Clínico Farmacología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Traslacional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Inmunofarmacología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Biofarmacia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Farmacocinética,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Farmacometría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 y Control de Calidad de Medicamentos y Dispositivos Médicos,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Biofarmacia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Farmacocinética,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Farmacovigilancia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>, entre otros. Asimismo, se vinculará con la industria Químico Farmacéutica, Biomédica y el Sector Salud para promover el desarrollo tecnológico e investigación, así como ofrecié</w:t>
      </w:r>
      <w:r w:rsidR="002548E3">
        <w:rPr>
          <w:rFonts w:ascii="AvantGarde Bk BT" w:hAnsi="AvantGarde Bk BT" w:cs="Arial"/>
          <w:sz w:val="22"/>
          <w:szCs w:val="22"/>
        </w:rPr>
        <w:t>ndoles servicios especializados;</w:t>
      </w:r>
    </w:p>
    <w:p w:rsidR="00910202" w:rsidRPr="00910202" w:rsidRDefault="00910202" w:rsidP="00910202">
      <w:pPr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br w:type="page"/>
      </w:r>
    </w:p>
    <w:p w:rsidR="00910202" w:rsidRPr="00910202" w:rsidRDefault="00910202" w:rsidP="00910202">
      <w:pPr>
        <w:pStyle w:val="Prrafodelista"/>
        <w:numPr>
          <w:ilvl w:val="1"/>
          <w:numId w:val="15"/>
        </w:num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lastRenderedPageBreak/>
        <w:t xml:space="preserve">El requisito establecido en la fracción III del artículo 16, se plantea en su proyecto de creación y se encuentra validado por la </w:t>
      </w:r>
      <w:r w:rsidR="002548E3">
        <w:rPr>
          <w:rFonts w:ascii="AvantGarde Bk BT" w:hAnsi="AvantGarde Bk BT" w:cs="Arial"/>
          <w:sz w:val="22"/>
          <w:szCs w:val="22"/>
        </w:rPr>
        <w:t>Coordinación General Académica, y</w:t>
      </w:r>
    </w:p>
    <w:p w:rsidR="00910202" w:rsidRPr="00910202" w:rsidRDefault="00910202" w:rsidP="00910202">
      <w:pPr>
        <w:pStyle w:val="Prrafodelista"/>
        <w:numPr>
          <w:ilvl w:val="1"/>
          <w:numId w:val="15"/>
        </w:num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Los recursos financieros necesarios para su funcionamiento derivan del techo presupuestal del Centro Universitario de Ciencias Exactas e Ingenierías, y podrá tener sus propias fuentes de financiamiento para apoyo a la investigación, a los programas y a los proyectos que desarrolle.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pStyle w:val="Textoindependiente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En virtud de los resultandos antes expuestos, y,</w:t>
      </w:r>
    </w:p>
    <w:p w:rsidR="00910202" w:rsidRPr="00910202" w:rsidRDefault="00910202" w:rsidP="00910202">
      <w:pPr>
        <w:pStyle w:val="Textoindependiente"/>
        <w:rPr>
          <w:rFonts w:ascii="AvantGarde Bk BT" w:hAnsi="AvantGarde Bk BT"/>
          <w:sz w:val="22"/>
          <w:szCs w:val="22"/>
        </w:rPr>
      </w:pPr>
    </w:p>
    <w:p w:rsidR="00910202" w:rsidRPr="00910202" w:rsidRDefault="00910202" w:rsidP="00910202">
      <w:pPr>
        <w:jc w:val="center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C o n s i d e r a n d o: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la Universidad de Guadalajara es un organismo público descentralizado del Gobierno del Estado, con autonomía, personalidad jurídica y patrimonio propios, de conformidad con lo dispuesto en el artículo 1 de su Ley Orgánica, promulgada por el Ejecutivo local el día 15 de enero de 1994, en ejecución del Decreto número 15,319 del H. Congreso del Estado de Jalisco.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  <w:highlight w:val="cyan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son fines de esta Casa de Estudios, la formación y actualización de los técnicos, bachilleres, técnicos profesionales, profesionistas, graduados y demás recursos humanos que requiere el desarrollo socio-económico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tecnología, de acuerdo con lo señalado en las fracciones I, II y IV del artículo 5 de la Ley Orgánica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es atribución de la Universidad de Guadalajara, organizarse para el cumplimiento de sus fines y realizar programas de docencia, investigación y difusión de la cultura, de acuerdo con los principios y orientaciones previstos en el artículo 3 de la Constitución Federal, tal y como se estipula en las fracciones II y III del artículo 6 de la Ley Orgánica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 xml:space="preserve">Que la Universidad de Guadalajara ha adoptado el modelo de Red para organizar sus actividades académicas y administrativas en virtud del cual se integra por los Centros Universitarios, el Sistema de Educación Media Superior y la Administración General, de acuerdo con lo dispuesto en los artículos 22 y 23 de la Ley Orgánica de la Universidad de Guadalajara. </w:t>
      </w:r>
    </w:p>
    <w:p w:rsidR="00910202" w:rsidRPr="00910202" w:rsidRDefault="00910202" w:rsidP="00910202">
      <w:pPr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br w:type="page"/>
      </w:r>
    </w:p>
    <w:p w:rsidR="00910202" w:rsidRPr="00910202" w:rsidRDefault="00910202" w:rsidP="00910202">
      <w:pPr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Que, para su organización interna, los Centros Universitarios cuentan con unidades denominadas Divisiones y Departamentos, además de las entidades administrativas necesarias para el cumplimiento de sus funciones, y los Departamentos, a su vez, se integran a partir de unidades académicas, entre las que se encuentran los Laboratorios, según se desprende del artículo 5 y la fracción III del artículo 13, ambos del Estatuto General de la Universidad de Guadalajara.</w:t>
      </w:r>
    </w:p>
    <w:p w:rsidR="00910202" w:rsidRPr="00910202" w:rsidRDefault="00910202" w:rsidP="00910202">
      <w:pPr>
        <w:tabs>
          <w:tab w:val="left" w:pos="-720"/>
        </w:tabs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el Laboratorio es la Unidad departamental que realiza funciones de apoyo a la investigación, docencia o difusión, de acuerdo con lo establecido en el artículo 16 del Estatuto General de la Universidad.</w:t>
      </w:r>
    </w:p>
    <w:p w:rsidR="00910202" w:rsidRPr="00910202" w:rsidRDefault="00910202" w:rsidP="00910202">
      <w:pPr>
        <w:tabs>
          <w:tab w:val="left" w:pos="-720"/>
        </w:tabs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los Colegios Departamentales, tienen como atribuciones la de proponer al Consejo Divisional la creación, supresión o modificación de los departamentos y sus unidades, conforme lo establece la fracción II del artículo 65 de la Ley Orgánica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pStyle w:val="Prrafodelista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 xml:space="preserve">Que el Consejo General Universitario, funcionará en pleno o por comisiones, </w:t>
      </w:r>
      <w:r w:rsidRPr="00910202">
        <w:rPr>
          <w:rFonts w:ascii="AvantGarde Bk BT" w:hAnsi="AvantGarde Bk BT"/>
          <w:sz w:val="22"/>
          <w:szCs w:val="22"/>
          <w:lang w:eastAsia="es-MX"/>
        </w:rPr>
        <w:t>las que pueden ser permanentes o especiales, tal como lo prevé el artículo 27 de la Ley Orgánica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 xml:space="preserve">Que es atribución de la Comisión Permanente de Educación, </w:t>
      </w:r>
      <w:r w:rsidRPr="00910202">
        <w:rPr>
          <w:rFonts w:ascii="AvantGarde Bk BT" w:hAnsi="AvantGarde Bk BT"/>
          <w:sz w:val="22"/>
          <w:szCs w:val="22"/>
          <w:lang w:eastAsia="es-MX"/>
        </w:rPr>
        <w:t xml:space="preserve">dictaminar sobre la procedencia de la fundación de nuevos Centros y Sistemas que permitan mejorar o diversificar las funciones universitarias; asimismo, sobre la modificación o supresión de cualquiera de los existentes, así como, </w:t>
      </w:r>
      <w:r w:rsidRPr="00910202">
        <w:rPr>
          <w:rFonts w:ascii="AvantGarde Bk BT" w:hAnsi="AvantGarde Bk BT"/>
          <w:spacing w:val="-2"/>
          <w:sz w:val="22"/>
          <w:szCs w:val="22"/>
        </w:rPr>
        <w:t>conocer y dictaminar acerca de las propuestas de los Consejeros, el Rector General, o de los Titulares de los Centros, Divisiones y Escuelas, de conformidad con lo establecido en las fracciones III y IV del artículo 85 del Estatuto General de la Universidad de Guadalajara.</w:t>
      </w:r>
    </w:p>
    <w:p w:rsidR="00910202" w:rsidRDefault="00910202">
      <w:pPr>
        <w:widowControl/>
        <w:suppressAutoHyphens w:val="0"/>
        <w:spacing w:after="200" w:line="276" w:lineRule="auto"/>
        <w:rPr>
          <w:rFonts w:ascii="AvantGarde Bk BT" w:hAnsi="AvantGarde Bk BT"/>
          <w:spacing w:val="-2"/>
          <w:sz w:val="22"/>
          <w:szCs w:val="22"/>
        </w:rPr>
      </w:pPr>
      <w:r>
        <w:rPr>
          <w:rFonts w:ascii="AvantGarde Bk BT" w:hAnsi="AvantGarde Bk BT"/>
          <w:spacing w:val="-2"/>
          <w:sz w:val="22"/>
          <w:szCs w:val="22"/>
        </w:rPr>
        <w:br w:type="page"/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widowControl/>
        <w:numPr>
          <w:ilvl w:val="0"/>
          <w:numId w:val="14"/>
        </w:num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>Que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autorizados, conforme lo señalado por la fracción VI del artículo 116 del Estatuto General de la Universidad de Guadalajara.</w:t>
      </w: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10202" w:rsidRPr="00910202" w:rsidRDefault="00910202" w:rsidP="00910202">
      <w:pPr>
        <w:tabs>
          <w:tab w:val="left" w:pos="-720"/>
        </w:tabs>
        <w:jc w:val="both"/>
        <w:rPr>
          <w:rFonts w:ascii="AvantGarde Bk BT" w:hAnsi="AvantGarde Bk BT"/>
          <w:spacing w:val="-2"/>
          <w:sz w:val="22"/>
          <w:szCs w:val="22"/>
        </w:rPr>
      </w:pPr>
      <w:r w:rsidRPr="00910202">
        <w:rPr>
          <w:rFonts w:ascii="AvantGarde Bk BT" w:hAnsi="AvantGarde Bk BT"/>
          <w:spacing w:val="-2"/>
          <w:sz w:val="22"/>
          <w:szCs w:val="22"/>
        </w:rPr>
        <w:t xml:space="preserve">Por lo anteriormente expuesto, esta Comisión Permanente de Educación </w:t>
      </w:r>
      <w:proofErr w:type="gramStart"/>
      <w:r w:rsidRPr="00910202">
        <w:rPr>
          <w:rFonts w:ascii="AvantGarde Bk BT" w:hAnsi="AvantGarde Bk BT"/>
          <w:spacing w:val="-2"/>
          <w:sz w:val="22"/>
          <w:szCs w:val="22"/>
        </w:rPr>
        <w:t>tienen</w:t>
      </w:r>
      <w:proofErr w:type="gramEnd"/>
      <w:r w:rsidRPr="00910202">
        <w:rPr>
          <w:rFonts w:ascii="AvantGarde Bk BT" w:hAnsi="AvantGarde Bk BT"/>
          <w:spacing w:val="-2"/>
          <w:sz w:val="22"/>
          <w:szCs w:val="22"/>
        </w:rPr>
        <w:t xml:space="preserve"> a bien proponer al H. Consejo General Universitario los siguientes:</w:t>
      </w:r>
    </w:p>
    <w:p w:rsidR="00910202" w:rsidRPr="00910202" w:rsidRDefault="00910202" w:rsidP="00910202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:rsidR="00910202" w:rsidRPr="00910202" w:rsidRDefault="00910202" w:rsidP="00910202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910202">
        <w:rPr>
          <w:rFonts w:ascii="AvantGarde Bk BT" w:hAnsi="AvantGarde Bk BT" w:cs="Arial"/>
          <w:b/>
          <w:sz w:val="22"/>
          <w:szCs w:val="22"/>
          <w:lang w:val="pt-BR"/>
        </w:rPr>
        <w:t>R e s o l u t i v o s</w:t>
      </w:r>
      <w:r w:rsidRPr="00910202">
        <w:rPr>
          <w:rFonts w:ascii="AvantGarde Bk BT" w:hAnsi="AvantGarde Bk BT" w:cs="Arial"/>
          <w:sz w:val="22"/>
          <w:szCs w:val="22"/>
          <w:lang w:val="pt-BR"/>
        </w:rPr>
        <w:t>: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910202" w:rsidRPr="00910202" w:rsidRDefault="00910202" w:rsidP="002548E3">
      <w:pPr>
        <w:pStyle w:val="Textoindependiente"/>
        <w:jc w:val="both"/>
        <w:rPr>
          <w:rFonts w:ascii="AvantGarde Bk BT" w:hAnsi="AvantGarde Bk BT" w:cs="Arial"/>
          <w:sz w:val="22"/>
          <w:szCs w:val="22"/>
          <w:lang w:val="es-MX"/>
        </w:rPr>
      </w:pPr>
      <w:r w:rsidRPr="00910202">
        <w:rPr>
          <w:rFonts w:ascii="AvantGarde Bk BT" w:hAnsi="AvantGarde Bk BT" w:cs="Arial"/>
          <w:b/>
          <w:sz w:val="22"/>
          <w:szCs w:val="22"/>
        </w:rPr>
        <w:t>PRIMERO</w:t>
      </w:r>
      <w:r w:rsidRPr="00910202">
        <w:rPr>
          <w:rFonts w:ascii="AvantGarde Bk BT" w:hAnsi="AvantGarde Bk BT" w:cs="Arial"/>
          <w:sz w:val="22"/>
          <w:szCs w:val="22"/>
        </w:rPr>
        <w:t xml:space="preserve">. </w:t>
      </w:r>
      <w:r w:rsidRPr="00910202">
        <w:rPr>
          <w:rFonts w:ascii="AvantGarde Bk BT" w:hAnsi="AvantGarde Bk BT"/>
          <w:sz w:val="22"/>
          <w:szCs w:val="22"/>
        </w:rPr>
        <w:t>Se crea el</w:t>
      </w:r>
      <w:r w:rsidRPr="00910202">
        <w:rPr>
          <w:rFonts w:ascii="AvantGarde Bk BT" w:hAnsi="AvantGarde Bk BT" w:cs="Arial"/>
          <w:b/>
          <w:sz w:val="22"/>
          <w:szCs w:val="22"/>
        </w:rPr>
        <w:t xml:space="preserve"> Laboratorio de Investigación y Desarrollo Farmacéutico</w:t>
      </w:r>
      <w:r w:rsidRPr="00910202">
        <w:rPr>
          <w:rFonts w:ascii="AvantGarde Bk BT" w:hAnsi="AvantGarde Bk BT" w:cs="Arial"/>
          <w:sz w:val="22"/>
          <w:szCs w:val="22"/>
        </w:rPr>
        <w:t xml:space="preserve">, adscrito </w:t>
      </w:r>
      <w:r w:rsidRPr="00910202">
        <w:rPr>
          <w:rFonts w:ascii="AvantGarde Bk BT" w:hAnsi="AvantGarde Bk BT" w:cs="Arial"/>
          <w:sz w:val="22"/>
          <w:szCs w:val="22"/>
          <w:lang w:val="es-MX"/>
        </w:rPr>
        <w:t>al Departamento de</w:t>
      </w:r>
      <w:r w:rsidRPr="00910202">
        <w:rPr>
          <w:rFonts w:ascii="AvantGarde Bk BT" w:hAnsi="AvantGarde Bk BT"/>
          <w:sz w:val="22"/>
          <w:szCs w:val="22"/>
        </w:rPr>
        <w:t xml:space="preserve"> </w:t>
      </w:r>
      <w:proofErr w:type="spellStart"/>
      <w:r w:rsidRPr="00910202">
        <w:rPr>
          <w:rFonts w:ascii="AvantGarde Bk BT" w:hAnsi="AvantGarde Bk BT" w:cs="Arial"/>
          <w:sz w:val="22"/>
          <w:szCs w:val="22"/>
          <w:lang w:val="es-MX"/>
        </w:rPr>
        <w:t>Farmacobiología</w:t>
      </w:r>
      <w:proofErr w:type="spellEnd"/>
      <w:r w:rsidRPr="00910202">
        <w:rPr>
          <w:rFonts w:ascii="AvantGarde Bk BT" w:hAnsi="AvantGarde Bk BT" w:cs="Arial"/>
          <w:sz w:val="22"/>
          <w:szCs w:val="22"/>
          <w:lang w:val="es-MX"/>
        </w:rPr>
        <w:t>, de la División de Ciencias Básicas del Centro Universitario de Ciencias Exactas e Ingenierías</w:t>
      </w:r>
      <w:r w:rsidRPr="00910202">
        <w:rPr>
          <w:rFonts w:ascii="AvantGarde Bk BT" w:hAnsi="AvantGarde Bk BT" w:cs="Arial"/>
          <w:sz w:val="22"/>
          <w:szCs w:val="22"/>
        </w:rPr>
        <w:t>.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b/>
          <w:sz w:val="22"/>
          <w:szCs w:val="22"/>
        </w:rPr>
        <w:t>SEGUNDO.</w:t>
      </w:r>
      <w:r w:rsidRPr="00910202">
        <w:rPr>
          <w:rFonts w:ascii="AvantGarde Bk BT" w:hAnsi="AvantGarde Bk BT" w:cs="Arial"/>
          <w:sz w:val="22"/>
          <w:szCs w:val="22"/>
        </w:rPr>
        <w:t xml:space="preserve"> El Laboratorio de Investigación y Desarrollo Farmacéutico tendrá un responsable, a quien se le denominará Jefe de Laboratorio, mismo que será designado por el Jefe del Departamento de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Farmacobiología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 de la terna propuesta por el Colegio Departamental respectivo, cuyo cargo ejercerá de manera honorífica y durará en él 3 años, contados a partir de los 30 días siguientes a que haya sido designado el Rector del Centro Universitario o cuando se presente una vacante. 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sz w:val="22"/>
          <w:szCs w:val="22"/>
        </w:rPr>
        <w:t>La gestión del primer responsable del Laboratorio iniciará a partir de la ejecución del presente dictamen y tendrá vigencia hasta el 31 de mayo del año en que haya cambio de Rector del Centro.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/>
          <w:sz w:val="22"/>
          <w:szCs w:val="22"/>
          <w:lang w:eastAsia="es-MX"/>
        </w:rPr>
        <w:t xml:space="preserve">Considerando que el </w:t>
      </w:r>
      <w:r w:rsidRPr="00910202">
        <w:rPr>
          <w:rFonts w:ascii="AvantGarde Bk BT" w:hAnsi="AvantGarde Bk BT" w:cs="Arial"/>
          <w:sz w:val="22"/>
          <w:szCs w:val="22"/>
        </w:rPr>
        <w:t>Laboratorio de Investigación y Desarrollo Farmacéutico</w:t>
      </w:r>
      <w:r w:rsidRPr="00910202">
        <w:rPr>
          <w:rFonts w:ascii="AvantGarde Bk BT" w:hAnsi="AvantGarde Bk BT" w:cs="Arial"/>
          <w:b/>
          <w:sz w:val="22"/>
          <w:szCs w:val="22"/>
        </w:rPr>
        <w:t xml:space="preserve"> </w:t>
      </w:r>
      <w:r w:rsidRPr="00910202">
        <w:rPr>
          <w:rFonts w:ascii="AvantGarde Bk BT" w:hAnsi="AvantGarde Bk BT" w:cs="Arial"/>
          <w:sz w:val="22"/>
          <w:szCs w:val="22"/>
        </w:rPr>
        <w:t>es una forma de organización del trabajo académico del Departamento de Farmacología de la División de Ciencias Básicas</w:t>
      </w:r>
      <w:r w:rsidRPr="00910202">
        <w:rPr>
          <w:rFonts w:ascii="AvantGarde Bk BT" w:hAnsi="AvantGarde Bk BT"/>
          <w:sz w:val="22"/>
          <w:szCs w:val="22"/>
          <w:lang w:eastAsia="es-MX"/>
        </w:rPr>
        <w:t>, su titular no recibirá remuneración ni compensación alguna por las actividades que desempeñe como Jefe del mismo.</w:t>
      </w:r>
    </w:p>
    <w:p w:rsidR="00910202" w:rsidRPr="00910202" w:rsidRDefault="00910202" w:rsidP="00910202">
      <w:pPr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/>
          <w:sz w:val="22"/>
          <w:szCs w:val="22"/>
          <w:lang w:eastAsia="es-MX"/>
        </w:rPr>
        <w:br w:type="page"/>
      </w: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/>
          <w:sz w:val="22"/>
          <w:szCs w:val="22"/>
          <w:lang w:eastAsia="es-MX"/>
        </w:rPr>
        <w:t xml:space="preserve">Serán requisitos para ser designado Jefe del Laboratorio: </w:t>
      </w: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</w:p>
    <w:p w:rsidR="00910202" w:rsidRPr="00910202" w:rsidRDefault="00910202" w:rsidP="00910202">
      <w:pPr>
        <w:pStyle w:val="Prrafodelista"/>
        <w:numPr>
          <w:ilvl w:val="0"/>
          <w:numId w:val="16"/>
        </w:num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/>
          <w:sz w:val="22"/>
          <w:szCs w:val="22"/>
          <w:lang w:eastAsia="es-MX"/>
        </w:rPr>
        <w:t>Ser profesor de carrera de tiempo completo; y</w:t>
      </w:r>
    </w:p>
    <w:p w:rsidR="00910202" w:rsidRPr="00910202" w:rsidRDefault="00910202" w:rsidP="00910202">
      <w:pPr>
        <w:pStyle w:val="Prrafodelista"/>
        <w:numPr>
          <w:ilvl w:val="0"/>
          <w:numId w:val="16"/>
        </w:num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/>
          <w:sz w:val="22"/>
          <w:szCs w:val="22"/>
          <w:lang w:eastAsia="es-MX"/>
        </w:rPr>
        <w:t xml:space="preserve">Ser de reconocida capacidad académica en el objeto de estudio del Laboratorio.  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910202">
        <w:rPr>
          <w:rFonts w:ascii="AvantGarde Bk BT" w:hAnsi="AvantGarde Bk BT" w:cs="Arial"/>
          <w:b/>
          <w:sz w:val="22"/>
          <w:szCs w:val="22"/>
        </w:rPr>
        <w:t>TERCERO</w:t>
      </w:r>
      <w:r w:rsidRPr="00910202">
        <w:rPr>
          <w:rFonts w:ascii="AvantGarde Bk BT" w:hAnsi="AvantGarde Bk BT" w:cs="Arial"/>
          <w:sz w:val="22"/>
          <w:szCs w:val="22"/>
        </w:rPr>
        <w:t xml:space="preserve">. El Laboratorio de Investigación y Desarrollo Farmacéutico, se ubicará </w:t>
      </w:r>
      <w:r w:rsidRPr="00910202">
        <w:rPr>
          <w:rFonts w:ascii="AvantGarde Bk BT" w:hAnsi="AvantGarde Bk BT"/>
          <w:sz w:val="22"/>
          <w:szCs w:val="22"/>
          <w:lang w:eastAsia="es-MX"/>
        </w:rPr>
        <w:t>físicamente en las instalaciones que defina el Centro Universitario.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z w:val="22"/>
          <w:szCs w:val="22"/>
        </w:rPr>
      </w:pPr>
      <w:r w:rsidRPr="00910202">
        <w:rPr>
          <w:rFonts w:ascii="AvantGarde Bk BT" w:hAnsi="AvantGarde Bk BT" w:cs="Arial"/>
          <w:b/>
          <w:sz w:val="22"/>
          <w:szCs w:val="22"/>
        </w:rPr>
        <w:t>CUARTO</w:t>
      </w:r>
      <w:r w:rsidRPr="00910202">
        <w:rPr>
          <w:rFonts w:ascii="AvantGarde Bk BT" w:hAnsi="AvantGarde Bk BT" w:cs="Arial"/>
          <w:sz w:val="22"/>
          <w:szCs w:val="22"/>
        </w:rPr>
        <w:t xml:space="preserve">. El Laboratorio de Investigación y Desarrollo Farmacéutico, contará con los instrumentos de planeación, programación,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presupuestación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 y evaluación, de sus programas; estará incorporado al techo presupuestal del Departamento de </w:t>
      </w:r>
      <w:proofErr w:type="spellStart"/>
      <w:r w:rsidRPr="00910202">
        <w:rPr>
          <w:rFonts w:ascii="AvantGarde Bk BT" w:hAnsi="AvantGarde Bk BT" w:cs="Arial"/>
          <w:sz w:val="22"/>
          <w:szCs w:val="22"/>
        </w:rPr>
        <w:t>Farmacobiología</w:t>
      </w:r>
      <w:proofErr w:type="spellEnd"/>
      <w:r w:rsidRPr="00910202">
        <w:rPr>
          <w:rFonts w:ascii="AvantGarde Bk BT" w:hAnsi="AvantGarde Bk BT" w:cs="Arial"/>
          <w:sz w:val="22"/>
          <w:szCs w:val="22"/>
        </w:rPr>
        <w:t xml:space="preserve">, del Centro Universitario de Ciencias Exactas e Ingenierías. </w:t>
      </w:r>
    </w:p>
    <w:p w:rsidR="00910202" w:rsidRPr="00910202" w:rsidRDefault="00910202" w:rsidP="00910202">
      <w:pPr>
        <w:pStyle w:val="Textoindependiente"/>
        <w:rPr>
          <w:rFonts w:ascii="AvantGarde Bk BT" w:hAnsi="AvantGarde Bk BT" w:cs="Arial"/>
          <w:sz w:val="22"/>
          <w:szCs w:val="22"/>
          <w:lang w:val="es-MX"/>
        </w:rPr>
      </w:pPr>
    </w:p>
    <w:p w:rsidR="00910202" w:rsidRPr="00910202" w:rsidRDefault="00910202" w:rsidP="00910202">
      <w:pPr>
        <w:ind w:right="-2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910202">
        <w:rPr>
          <w:rFonts w:ascii="AvantGarde Bk BT" w:hAnsi="AvantGarde Bk BT" w:cs="Arial"/>
          <w:b/>
          <w:sz w:val="22"/>
          <w:szCs w:val="22"/>
        </w:rPr>
        <w:t>QUINTO</w:t>
      </w:r>
      <w:r w:rsidRPr="00910202">
        <w:rPr>
          <w:rFonts w:ascii="AvantGarde Bk BT" w:hAnsi="AvantGarde Bk BT" w:cs="Arial"/>
          <w:sz w:val="22"/>
          <w:szCs w:val="22"/>
        </w:rPr>
        <w:t xml:space="preserve">. </w:t>
      </w:r>
      <w:r w:rsidRPr="00910202">
        <w:rPr>
          <w:rFonts w:ascii="AvantGarde Bk BT" w:hAnsi="AvantGarde Bk BT"/>
          <w:sz w:val="22"/>
          <w:szCs w:val="22"/>
          <w:lang w:eastAsia="es-MX"/>
        </w:rPr>
        <w:t>Ejecútese el presente Dictamen en los términos de la fracción II del artículo 35, de la Ley Orgánica Universitaria de la Universidad de Guadalajara.</w:t>
      </w:r>
    </w:p>
    <w:p w:rsidR="00910202" w:rsidRPr="00910202" w:rsidRDefault="00910202" w:rsidP="00910202">
      <w:pPr>
        <w:tabs>
          <w:tab w:val="left" w:pos="0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910202" w:rsidRPr="00910202" w:rsidRDefault="00910202" w:rsidP="00910202">
      <w:pPr>
        <w:jc w:val="center"/>
        <w:rPr>
          <w:rFonts w:ascii="AvantGarde Bk BT" w:hAnsi="AvantGarde Bk BT"/>
          <w:sz w:val="22"/>
          <w:szCs w:val="22"/>
          <w:lang w:val="pt-BR"/>
        </w:rPr>
      </w:pPr>
      <w:r w:rsidRPr="00910202">
        <w:rPr>
          <w:rFonts w:ascii="AvantGarde Bk BT" w:hAnsi="AvantGarde Bk BT"/>
          <w:sz w:val="22"/>
          <w:szCs w:val="22"/>
          <w:lang w:val="pt-BR"/>
        </w:rPr>
        <w:t>A t e n t a m e n t e</w:t>
      </w:r>
    </w:p>
    <w:p w:rsidR="00910202" w:rsidRPr="00910202" w:rsidRDefault="00910202" w:rsidP="00910202">
      <w:pPr>
        <w:jc w:val="center"/>
        <w:rPr>
          <w:rFonts w:ascii="AvantGarde Bk BT" w:hAnsi="AvantGarde Bk BT"/>
          <w:b/>
          <w:sz w:val="22"/>
          <w:szCs w:val="22"/>
        </w:rPr>
      </w:pPr>
      <w:r w:rsidRPr="00910202">
        <w:rPr>
          <w:rFonts w:ascii="AvantGarde Bk BT" w:hAnsi="AvantGarde Bk BT"/>
          <w:b/>
          <w:sz w:val="22"/>
          <w:szCs w:val="22"/>
        </w:rPr>
        <w:t>"PIENSA Y TRABAJA"</w:t>
      </w:r>
    </w:p>
    <w:p w:rsidR="00910202" w:rsidRPr="00910202" w:rsidRDefault="00910202" w:rsidP="00910202">
      <w:pPr>
        <w:jc w:val="center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Guadalajara, Jal., 22 de marzo de 2019</w:t>
      </w:r>
    </w:p>
    <w:p w:rsidR="00910202" w:rsidRPr="00910202" w:rsidRDefault="00910202" w:rsidP="00910202">
      <w:pPr>
        <w:jc w:val="center"/>
        <w:rPr>
          <w:rFonts w:ascii="AvantGarde Bk BT" w:hAnsi="AvantGarde Bk BT"/>
          <w:b/>
          <w:sz w:val="22"/>
          <w:szCs w:val="22"/>
        </w:rPr>
      </w:pPr>
      <w:r w:rsidRPr="00910202">
        <w:rPr>
          <w:rFonts w:ascii="AvantGarde Bk BT" w:hAnsi="AvantGarde Bk BT"/>
          <w:b/>
          <w:sz w:val="22"/>
          <w:szCs w:val="22"/>
        </w:rPr>
        <w:t xml:space="preserve">Comisión Permanente de Educación </w:t>
      </w:r>
    </w:p>
    <w:p w:rsidR="00910202" w:rsidRPr="00910202" w:rsidRDefault="00910202" w:rsidP="00910202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:rsidR="00910202" w:rsidRPr="00910202" w:rsidRDefault="00910202" w:rsidP="00910202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:rsidR="00910202" w:rsidRPr="00910202" w:rsidRDefault="00910202" w:rsidP="00910202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910202">
        <w:rPr>
          <w:rFonts w:ascii="AvantGarde Bk BT" w:hAnsi="AvantGarde Bk BT"/>
          <w:b/>
          <w:spacing w:val="-3"/>
          <w:sz w:val="22"/>
          <w:szCs w:val="22"/>
        </w:rPr>
        <w:t xml:space="preserve">Dr. Miguel Angel Navarro </w:t>
      </w:r>
      <w:proofErr w:type="spellStart"/>
      <w:r w:rsidRPr="00910202">
        <w:rPr>
          <w:rFonts w:ascii="AvantGarde Bk BT" w:hAnsi="AvantGarde Bk BT"/>
          <w:b/>
          <w:spacing w:val="-3"/>
          <w:sz w:val="22"/>
          <w:szCs w:val="22"/>
        </w:rPr>
        <w:t>Navarro</w:t>
      </w:r>
      <w:proofErr w:type="spellEnd"/>
      <w:r w:rsidRPr="00910202">
        <w:rPr>
          <w:rFonts w:ascii="AvantGarde Bk BT" w:hAnsi="AvantGarde Bk BT"/>
          <w:b/>
          <w:spacing w:val="-3"/>
          <w:sz w:val="22"/>
          <w:szCs w:val="22"/>
        </w:rPr>
        <w:t xml:space="preserve"> </w:t>
      </w:r>
    </w:p>
    <w:p w:rsidR="00910202" w:rsidRPr="00910202" w:rsidRDefault="00910202" w:rsidP="00910202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910202">
        <w:rPr>
          <w:rFonts w:ascii="AvantGarde Bk BT" w:hAnsi="AvantGarde Bk BT"/>
          <w:spacing w:val="-3"/>
          <w:sz w:val="22"/>
          <w:szCs w:val="22"/>
        </w:rPr>
        <w:t>Presidente</w:t>
      </w:r>
    </w:p>
    <w:p w:rsidR="00910202" w:rsidRPr="00910202" w:rsidRDefault="00910202" w:rsidP="00910202">
      <w:pPr>
        <w:jc w:val="center"/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347"/>
      </w:tblGrid>
      <w:tr w:rsidR="00910202" w:rsidRPr="00910202" w:rsidTr="00C014CC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tabs>
                <w:tab w:val="left" w:pos="426"/>
              </w:tabs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Dr. Héctor Raúl Solís Gadea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Mtro. Guillermo Arturo Gómez Mata</w:t>
            </w:r>
          </w:p>
        </w:tc>
      </w:tr>
      <w:tr w:rsidR="00910202" w:rsidRPr="00910202" w:rsidTr="00C014CC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02" w:rsidRPr="00910202" w:rsidRDefault="00910202" w:rsidP="00C014CC">
            <w:pPr>
              <w:tabs>
                <w:tab w:val="left" w:pos="426"/>
              </w:tabs>
              <w:rPr>
                <w:rFonts w:ascii="AvantGarde Bk BT" w:hAnsi="AvantGarde Bk BT" w:cs="Arial"/>
                <w:sz w:val="22"/>
                <w:szCs w:val="22"/>
              </w:rPr>
            </w:pP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02" w:rsidRPr="00910202" w:rsidRDefault="00910202" w:rsidP="00C014CC">
            <w:pPr>
              <w:tabs>
                <w:tab w:val="left" w:pos="426"/>
              </w:tabs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910202" w:rsidRPr="00910202" w:rsidTr="00C014CC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Dr. Héctor Raúl Pérez Gómez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910202" w:rsidRPr="00910202" w:rsidRDefault="00910202" w:rsidP="00C014CC">
            <w:pPr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910202">
              <w:rPr>
                <w:rFonts w:ascii="AvantGarde Bk BT" w:hAnsi="AvantGarde Bk BT" w:cs="Arial"/>
                <w:sz w:val="22"/>
                <w:szCs w:val="22"/>
              </w:rPr>
              <w:t>C. Jair de Jesús Rojo Hinojosa</w:t>
            </w:r>
          </w:p>
        </w:tc>
      </w:tr>
      <w:tr w:rsidR="00910202" w:rsidRPr="00910202" w:rsidTr="00C014CC">
        <w:trPr>
          <w:gridAfter w:val="1"/>
          <w:wAfter w:w="4347" w:type="dxa"/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02" w:rsidRPr="00910202" w:rsidRDefault="00910202" w:rsidP="00C014CC">
            <w:pPr>
              <w:tabs>
                <w:tab w:val="left" w:pos="426"/>
              </w:tabs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</w:tbl>
    <w:p w:rsidR="00910202" w:rsidRPr="00910202" w:rsidRDefault="00910202" w:rsidP="00910202">
      <w:pPr>
        <w:jc w:val="center"/>
        <w:rPr>
          <w:rFonts w:ascii="AvantGarde Bk BT" w:hAnsi="AvantGarde Bk BT"/>
          <w:spacing w:val="-3"/>
          <w:sz w:val="22"/>
          <w:szCs w:val="22"/>
        </w:rPr>
      </w:pPr>
    </w:p>
    <w:p w:rsidR="00910202" w:rsidRPr="00910202" w:rsidRDefault="00910202" w:rsidP="00910202">
      <w:pPr>
        <w:jc w:val="center"/>
        <w:rPr>
          <w:rFonts w:ascii="AvantGarde Bk BT" w:hAnsi="AvantGarde Bk BT"/>
          <w:spacing w:val="-3"/>
          <w:sz w:val="22"/>
          <w:szCs w:val="22"/>
        </w:rPr>
      </w:pPr>
    </w:p>
    <w:p w:rsidR="00910202" w:rsidRPr="00910202" w:rsidRDefault="00910202" w:rsidP="00910202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910202">
        <w:rPr>
          <w:rFonts w:ascii="AvantGarde Bk BT" w:hAnsi="AvantGarde Bk BT"/>
          <w:b/>
          <w:sz w:val="22"/>
          <w:szCs w:val="22"/>
        </w:rPr>
        <w:t>Mtro. José Alfredo Peña Ramos</w:t>
      </w:r>
    </w:p>
    <w:p w:rsidR="00910202" w:rsidRPr="00910202" w:rsidRDefault="00910202" w:rsidP="00910202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910202">
        <w:rPr>
          <w:rFonts w:ascii="AvantGarde Bk BT" w:hAnsi="AvantGarde Bk BT"/>
          <w:sz w:val="22"/>
          <w:szCs w:val="22"/>
        </w:rPr>
        <w:t>Secretario de Actas y Acuerdos</w:t>
      </w:r>
    </w:p>
    <w:p w:rsidR="000C7D63" w:rsidRPr="00910202" w:rsidRDefault="000C7D63" w:rsidP="00910202">
      <w:pPr>
        <w:rPr>
          <w:rFonts w:ascii="AvantGarde Bk BT" w:hAnsi="AvantGarde Bk BT"/>
          <w:sz w:val="22"/>
          <w:szCs w:val="22"/>
        </w:rPr>
      </w:pPr>
    </w:p>
    <w:sectPr w:rsidR="000C7D63" w:rsidRPr="00910202" w:rsidSect="00631FFA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89" w:rsidRDefault="00F97589" w:rsidP="00910202">
      <w:r>
        <w:separator/>
      </w:r>
    </w:p>
  </w:endnote>
  <w:endnote w:type="continuationSeparator" w:id="0">
    <w:p w:rsidR="00F97589" w:rsidRDefault="00F97589" w:rsidP="009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98" w:rsidRDefault="00F97589">
    <w:pPr>
      <w:pStyle w:val="Piedepgina"/>
      <w:jc w:val="center"/>
      <w:rPr>
        <w:sz w:val="17"/>
        <w:szCs w:val="17"/>
      </w:rPr>
    </w:pPr>
    <w:r>
      <w:rPr>
        <w:rFonts w:ascii="AvantGarde Bk BT" w:hAnsi="AvantGarde Bk BT" w:cs="AvantGarde Bk BT"/>
        <w:sz w:val="14"/>
        <w:szCs w:val="14"/>
      </w:rPr>
      <w:t xml:space="preserve">Página </w:t>
    </w:r>
    <w:r>
      <w:rPr>
        <w:rFonts w:cs="AvantGarde Bk BT"/>
        <w:sz w:val="14"/>
        <w:szCs w:val="14"/>
      </w:rPr>
      <w:fldChar w:fldCharType="begin"/>
    </w:r>
    <w:r>
      <w:rPr>
        <w:rFonts w:cs="AvantGarde Bk BT"/>
        <w:sz w:val="14"/>
        <w:szCs w:val="14"/>
      </w:rPr>
      <w:instrText xml:space="preserve"> PAGE </w:instrText>
    </w:r>
    <w:r>
      <w:rPr>
        <w:rFonts w:cs="AvantGarde Bk BT"/>
        <w:sz w:val="14"/>
        <w:szCs w:val="14"/>
      </w:rPr>
      <w:fldChar w:fldCharType="separate"/>
    </w:r>
    <w:r w:rsidR="00D117B4">
      <w:rPr>
        <w:rFonts w:cs="AvantGarde Bk BT"/>
        <w:noProof/>
        <w:sz w:val="14"/>
        <w:szCs w:val="14"/>
      </w:rPr>
      <w:t>7</w:t>
    </w:r>
    <w:r>
      <w:rPr>
        <w:rFonts w:cs="AvantGarde Bk BT"/>
        <w:sz w:val="14"/>
        <w:szCs w:val="14"/>
      </w:rPr>
      <w:fldChar w:fldCharType="end"/>
    </w:r>
    <w:r>
      <w:rPr>
        <w:rFonts w:ascii="AvantGarde Bk BT" w:hAnsi="AvantGarde Bk BT" w:cs="AvantGarde Bk BT"/>
        <w:sz w:val="14"/>
        <w:szCs w:val="14"/>
      </w:rPr>
      <w:t xml:space="preserve"> de </w:t>
    </w:r>
    <w:r>
      <w:rPr>
        <w:rFonts w:cs="AvantGarde Bk BT"/>
        <w:sz w:val="14"/>
        <w:szCs w:val="14"/>
      </w:rPr>
      <w:fldChar w:fldCharType="begin"/>
    </w:r>
    <w:r>
      <w:rPr>
        <w:rFonts w:cs="AvantGarde Bk BT"/>
        <w:sz w:val="14"/>
        <w:szCs w:val="14"/>
      </w:rPr>
      <w:instrText xml:space="preserve"> NUMPAGES \*Arabic </w:instrText>
    </w:r>
    <w:r>
      <w:rPr>
        <w:rFonts w:cs="AvantGarde Bk BT"/>
        <w:sz w:val="14"/>
        <w:szCs w:val="14"/>
      </w:rPr>
      <w:fldChar w:fldCharType="separate"/>
    </w:r>
    <w:r w:rsidR="00D117B4">
      <w:rPr>
        <w:rFonts w:cs="AvantGarde Bk BT"/>
        <w:noProof/>
        <w:sz w:val="14"/>
        <w:szCs w:val="14"/>
      </w:rPr>
      <w:t>7</w:t>
    </w:r>
    <w:r>
      <w:rPr>
        <w:rFonts w:cs="AvantGarde Bk BT"/>
        <w:sz w:val="14"/>
        <w:szCs w:val="14"/>
      </w:rPr>
      <w:fldChar w:fldCharType="end"/>
    </w:r>
  </w:p>
  <w:p w:rsidR="00776998" w:rsidRDefault="00D117B4">
    <w:pPr>
      <w:pStyle w:val="Piedepgina"/>
      <w:spacing w:line="276" w:lineRule="auto"/>
      <w:jc w:val="center"/>
      <w:rPr>
        <w:sz w:val="17"/>
        <w:szCs w:val="17"/>
      </w:rPr>
    </w:pPr>
  </w:p>
  <w:p w:rsidR="00776998" w:rsidRDefault="00F97589">
    <w:pPr>
      <w:pStyle w:val="Piedepgina"/>
      <w:spacing w:line="276" w:lineRule="auto"/>
      <w:jc w:val="center"/>
      <w:rPr>
        <w:sz w:val="17"/>
        <w:szCs w:val="17"/>
      </w:rPr>
    </w:pPr>
    <w:r>
      <w:rPr>
        <w:sz w:val="17"/>
        <w:szCs w:val="17"/>
      </w:rPr>
      <w:t>Av. Juárez No. 976, Edificio de la Rectoría General, Piso 5, Colonia Centro C.P. 44100.</w:t>
    </w:r>
  </w:p>
  <w:p w:rsidR="00776998" w:rsidRDefault="00F97589">
    <w:pPr>
      <w:pStyle w:val="Piedepgina"/>
      <w:spacing w:line="276" w:lineRule="auto"/>
      <w:jc w:val="center"/>
      <w:rPr>
        <w:b/>
        <w:sz w:val="17"/>
        <w:szCs w:val="17"/>
      </w:rPr>
    </w:pPr>
    <w:r>
      <w:rPr>
        <w:sz w:val="17"/>
        <w:szCs w:val="17"/>
      </w:rPr>
      <w:t xml:space="preserve">Guadalajara, Jalisco. México. Tel. [52] (33) 3134 2222, </w:t>
    </w:r>
    <w:proofErr w:type="spellStart"/>
    <w:r>
      <w:rPr>
        <w:sz w:val="17"/>
        <w:szCs w:val="17"/>
      </w:rPr>
      <w:t>Exts</w:t>
    </w:r>
    <w:proofErr w:type="spellEnd"/>
    <w:r>
      <w:rPr>
        <w:sz w:val="17"/>
        <w:szCs w:val="17"/>
      </w:rPr>
      <w:t xml:space="preserve">. 12428, 12243, 12420 y 12457  Tel. </w:t>
    </w:r>
    <w:proofErr w:type="spellStart"/>
    <w:r>
      <w:rPr>
        <w:sz w:val="17"/>
        <w:szCs w:val="17"/>
      </w:rPr>
      <w:t>dir.</w:t>
    </w:r>
    <w:proofErr w:type="spellEnd"/>
    <w:r>
      <w:rPr>
        <w:sz w:val="17"/>
        <w:szCs w:val="17"/>
      </w:rPr>
      <w:t xml:space="preserve"> 3134 2243 Fax 3134 2278</w:t>
    </w:r>
  </w:p>
  <w:p w:rsidR="00776998" w:rsidRDefault="00F97589">
    <w:pPr>
      <w:pStyle w:val="Piedepgina"/>
      <w:spacing w:line="276" w:lineRule="auto"/>
      <w:jc w:val="center"/>
      <w:rPr>
        <w:szCs w:val="17"/>
      </w:rPr>
    </w:pPr>
    <w:r>
      <w:rPr>
        <w:b/>
        <w:sz w:val="17"/>
        <w:szCs w:val="17"/>
      </w:rPr>
      <w:t>www.hcgu.udg.mx</w:t>
    </w:r>
  </w:p>
  <w:p w:rsidR="00776998" w:rsidRDefault="00D117B4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89" w:rsidRDefault="00F97589" w:rsidP="00910202">
      <w:r>
        <w:separator/>
      </w:r>
    </w:p>
  </w:footnote>
  <w:footnote w:type="continuationSeparator" w:id="0">
    <w:p w:rsidR="00F97589" w:rsidRDefault="00F97589" w:rsidP="0091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98" w:rsidRDefault="00910202">
    <w:pPr>
      <w:pStyle w:val="Encabezado"/>
      <w:jc w:val="right"/>
      <w:rPr>
        <w:lang w:val="es-ES"/>
      </w:rPr>
    </w:pPr>
    <w:r>
      <w:rPr>
        <w:noProof/>
        <w:lang w:eastAsia="es-MX"/>
      </w:rPr>
      <w:drawing>
        <wp:anchor distT="0" distB="0" distL="114935" distR="114935" simplePos="0" relativeHeight="251659264" behindDoc="1" locked="0" layoutInCell="1" allowOverlap="1" wp14:anchorId="2F7C762D" wp14:editId="54CE6554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2080" cy="1617980"/>
          <wp:effectExtent l="0" t="0" r="127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998" w:rsidRDefault="00D117B4">
    <w:pPr>
      <w:pStyle w:val="Encabezado"/>
      <w:jc w:val="right"/>
      <w:rPr>
        <w:lang w:val="es-ES"/>
      </w:rPr>
    </w:pPr>
  </w:p>
  <w:p w:rsidR="00776998" w:rsidRDefault="00D117B4">
    <w:pPr>
      <w:pStyle w:val="Encabezado"/>
      <w:jc w:val="right"/>
      <w:rPr>
        <w:lang w:val="es-ES"/>
      </w:rPr>
    </w:pPr>
  </w:p>
  <w:p w:rsidR="00776998" w:rsidRDefault="00D117B4">
    <w:pPr>
      <w:pStyle w:val="Encabezado"/>
      <w:jc w:val="right"/>
      <w:rPr>
        <w:rFonts w:ascii="AvantGarde Bk BT" w:hAnsi="AvantGarde Bk BT" w:cs="AvantGarde Bk BT"/>
        <w:lang w:val="es-ES"/>
      </w:rPr>
    </w:pPr>
  </w:p>
  <w:p w:rsidR="00776998" w:rsidRDefault="00F97589">
    <w:pPr>
      <w:pStyle w:val="Encabezado"/>
      <w:jc w:val="right"/>
      <w:rPr>
        <w:rFonts w:ascii="AvantGarde Bk BT" w:hAnsi="AvantGarde Bk BT" w:cs="AvantGarde Bk BT"/>
        <w:sz w:val="20"/>
        <w:szCs w:val="20"/>
        <w:lang w:val="es-ES"/>
      </w:rPr>
    </w:pPr>
    <w:r>
      <w:rPr>
        <w:rFonts w:ascii="AvantGarde Bk BT" w:hAnsi="AvantGarde Bk BT" w:cs="AvantGarde Bk BT"/>
        <w:sz w:val="20"/>
        <w:szCs w:val="20"/>
        <w:lang w:val="es-ES"/>
      </w:rPr>
      <w:t>Exp.021</w:t>
    </w:r>
  </w:p>
  <w:p w:rsidR="00776998" w:rsidRDefault="00F97589">
    <w:pPr>
      <w:pStyle w:val="Encabezado"/>
      <w:jc w:val="right"/>
    </w:pPr>
    <w:r>
      <w:rPr>
        <w:rFonts w:ascii="AvantGarde Bk BT" w:hAnsi="AvantGarde Bk BT" w:cs="AvantGarde Bk BT"/>
        <w:sz w:val="20"/>
        <w:szCs w:val="20"/>
        <w:lang w:val="es-ES"/>
      </w:rPr>
      <w:t>Dictamen Núm. I/201</w:t>
    </w:r>
    <w:r w:rsidR="00910202">
      <w:rPr>
        <w:rFonts w:ascii="AvantGarde Bk BT" w:hAnsi="AvantGarde Bk BT" w:cs="AvantGarde Bk BT"/>
        <w:sz w:val="20"/>
        <w:szCs w:val="20"/>
        <w:lang w:val="es-ES"/>
      </w:rPr>
      <w:t>9/205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DDC59E6"/>
    <w:multiLevelType w:val="hybridMultilevel"/>
    <w:tmpl w:val="494A1A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773"/>
    <w:multiLevelType w:val="hybridMultilevel"/>
    <w:tmpl w:val="F4BC7844"/>
    <w:lvl w:ilvl="0" w:tplc="3A3EA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5200A"/>
    <w:multiLevelType w:val="hybridMultilevel"/>
    <w:tmpl w:val="D04EB9BE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D669AB"/>
    <w:multiLevelType w:val="hybridMultilevel"/>
    <w:tmpl w:val="A314E928"/>
    <w:lvl w:ilvl="0" w:tplc="C52A8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B5721"/>
    <w:multiLevelType w:val="hybridMultilevel"/>
    <w:tmpl w:val="A6E66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FC7C">
      <w:numFmt w:val="bullet"/>
      <w:lvlText w:val="•"/>
      <w:lvlJc w:val="left"/>
      <w:pPr>
        <w:ind w:left="1785" w:hanging="705"/>
      </w:pPr>
      <w:rPr>
        <w:rFonts w:ascii="AvantGarde Bk BT" w:eastAsia="Times New Roman" w:hAnsi="AvantGarde Bk B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33C0"/>
    <w:multiLevelType w:val="hybridMultilevel"/>
    <w:tmpl w:val="0F4C25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A2184"/>
    <w:multiLevelType w:val="hybridMultilevel"/>
    <w:tmpl w:val="24DC642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6E114F"/>
    <w:multiLevelType w:val="hybridMultilevel"/>
    <w:tmpl w:val="8F448F80"/>
    <w:lvl w:ilvl="0" w:tplc="080A0019">
      <w:start w:val="1"/>
      <w:numFmt w:val="low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CE22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445A5F"/>
    <w:multiLevelType w:val="hybridMultilevel"/>
    <w:tmpl w:val="938CCBC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6774A"/>
    <w:multiLevelType w:val="hybridMultilevel"/>
    <w:tmpl w:val="72105FCE"/>
    <w:lvl w:ilvl="0" w:tplc="CFBCF98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5176E"/>
    <w:multiLevelType w:val="hybridMultilevel"/>
    <w:tmpl w:val="0618270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A348E"/>
    <w:multiLevelType w:val="hybridMultilevel"/>
    <w:tmpl w:val="9DB840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4CB8"/>
    <w:multiLevelType w:val="hybridMultilevel"/>
    <w:tmpl w:val="03DA249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6C51BF"/>
    <w:multiLevelType w:val="hybridMultilevel"/>
    <w:tmpl w:val="B35A1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02"/>
    <w:rsid w:val="000C7D63"/>
    <w:rsid w:val="00114D23"/>
    <w:rsid w:val="002548E3"/>
    <w:rsid w:val="005E2BD5"/>
    <w:rsid w:val="00910202"/>
    <w:rsid w:val="00D117B4"/>
    <w:rsid w:val="00ED5754"/>
    <w:rsid w:val="00F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910202"/>
    <w:pPr>
      <w:keepNext/>
      <w:numPr>
        <w:numId w:val="1"/>
      </w:numPr>
      <w:jc w:val="right"/>
      <w:outlineLvl w:val="0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0202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910202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102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Encabezado">
    <w:name w:val="header"/>
    <w:basedOn w:val="Normal"/>
    <w:link w:val="EncabezadoCar"/>
    <w:rsid w:val="00910202"/>
  </w:style>
  <w:style w:type="character" w:customStyle="1" w:styleId="EncabezadoCar">
    <w:name w:val="Encabezado Car"/>
    <w:basedOn w:val="Fuentedeprrafopredeter"/>
    <w:link w:val="Encabezado"/>
    <w:rsid w:val="0091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910202"/>
  </w:style>
  <w:style w:type="character" w:customStyle="1" w:styleId="PiedepginaCar">
    <w:name w:val="Pie de página Car"/>
    <w:basedOn w:val="Fuentedeprrafopredeter"/>
    <w:link w:val="Piedepgina"/>
    <w:rsid w:val="0091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uadrculaclara-nfasis31">
    <w:name w:val="Cuadrícula clara - Énfasis 31"/>
    <w:basedOn w:val="Normal"/>
    <w:rsid w:val="00910202"/>
    <w:pPr>
      <w:ind w:left="708"/>
    </w:pPr>
  </w:style>
  <w:style w:type="paragraph" w:customStyle="1" w:styleId="tit2">
    <w:name w:val="tit2"/>
    <w:basedOn w:val="Normal"/>
    <w:rsid w:val="00910202"/>
    <w:pPr>
      <w:jc w:val="both"/>
    </w:pPr>
    <w:rPr>
      <w:rFonts w:ascii="Arial" w:hAnsi="Arial" w:cs="Arial"/>
      <w:szCs w:val="20"/>
      <w:lang w:val="es-ES"/>
    </w:rPr>
  </w:style>
  <w:style w:type="paragraph" w:customStyle="1" w:styleId="Listavistosa-nfasis11">
    <w:name w:val="Lista vistosa - Énfasis 11"/>
    <w:basedOn w:val="Normal"/>
    <w:rsid w:val="00910202"/>
    <w:pPr>
      <w:ind w:left="708"/>
    </w:pPr>
  </w:style>
  <w:style w:type="paragraph" w:customStyle="1" w:styleId="Predeterminado">
    <w:name w:val="Predeterminado"/>
    <w:rsid w:val="0091020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10202"/>
    <w:pPr>
      <w:widowControl/>
      <w:suppressAutoHyphens w:val="0"/>
      <w:ind w:left="708"/>
    </w:pPr>
    <w:rPr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910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B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910202"/>
    <w:pPr>
      <w:keepNext/>
      <w:numPr>
        <w:numId w:val="1"/>
      </w:numPr>
      <w:jc w:val="right"/>
      <w:outlineLvl w:val="0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0202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910202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102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Encabezado">
    <w:name w:val="header"/>
    <w:basedOn w:val="Normal"/>
    <w:link w:val="EncabezadoCar"/>
    <w:rsid w:val="00910202"/>
  </w:style>
  <w:style w:type="character" w:customStyle="1" w:styleId="EncabezadoCar">
    <w:name w:val="Encabezado Car"/>
    <w:basedOn w:val="Fuentedeprrafopredeter"/>
    <w:link w:val="Encabezado"/>
    <w:rsid w:val="0091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910202"/>
  </w:style>
  <w:style w:type="character" w:customStyle="1" w:styleId="PiedepginaCar">
    <w:name w:val="Pie de página Car"/>
    <w:basedOn w:val="Fuentedeprrafopredeter"/>
    <w:link w:val="Piedepgina"/>
    <w:rsid w:val="00910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uadrculaclara-nfasis31">
    <w:name w:val="Cuadrícula clara - Énfasis 31"/>
    <w:basedOn w:val="Normal"/>
    <w:rsid w:val="00910202"/>
    <w:pPr>
      <w:ind w:left="708"/>
    </w:pPr>
  </w:style>
  <w:style w:type="paragraph" w:customStyle="1" w:styleId="tit2">
    <w:name w:val="tit2"/>
    <w:basedOn w:val="Normal"/>
    <w:rsid w:val="00910202"/>
    <w:pPr>
      <w:jc w:val="both"/>
    </w:pPr>
    <w:rPr>
      <w:rFonts w:ascii="Arial" w:hAnsi="Arial" w:cs="Arial"/>
      <w:szCs w:val="20"/>
      <w:lang w:val="es-ES"/>
    </w:rPr>
  </w:style>
  <w:style w:type="paragraph" w:customStyle="1" w:styleId="Listavistosa-nfasis11">
    <w:name w:val="Lista vistosa - Énfasis 11"/>
    <w:basedOn w:val="Normal"/>
    <w:rsid w:val="00910202"/>
    <w:pPr>
      <w:ind w:left="708"/>
    </w:pPr>
  </w:style>
  <w:style w:type="paragraph" w:customStyle="1" w:styleId="Predeterminado">
    <w:name w:val="Predeterminado"/>
    <w:rsid w:val="0091020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10202"/>
    <w:pPr>
      <w:widowControl/>
      <w:suppressAutoHyphens w:val="0"/>
      <w:ind w:left="708"/>
    </w:pPr>
    <w:rPr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910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B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2064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Rosym</cp:lastModifiedBy>
  <cp:revision>4</cp:revision>
  <cp:lastPrinted>2019-03-22T18:08:00Z</cp:lastPrinted>
  <dcterms:created xsi:type="dcterms:W3CDTF">2019-03-21T17:34:00Z</dcterms:created>
  <dcterms:modified xsi:type="dcterms:W3CDTF">2019-03-22T18:09:00Z</dcterms:modified>
</cp:coreProperties>
</file>